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DB" w:rsidRDefault="003F1325">
      <w:pPr>
        <w:spacing w:line="560" w:lineRule="exact"/>
        <w:rPr>
          <w:rFonts w:eastAsia="黑体"/>
          <w:color w:val="000000" w:themeColor="text1"/>
          <w:szCs w:val="32"/>
        </w:rPr>
      </w:pPr>
      <w:bookmarkStart w:id="0" w:name="_Toc15481946"/>
      <w:bookmarkStart w:id="1" w:name="_GoBack"/>
      <w:bookmarkEnd w:id="1"/>
      <w:r>
        <w:rPr>
          <w:rFonts w:eastAsia="黑体"/>
          <w:color w:val="000000" w:themeColor="text1"/>
          <w:szCs w:val="32"/>
        </w:rPr>
        <w:t>附件</w:t>
      </w:r>
      <w:r>
        <w:rPr>
          <w:rFonts w:eastAsia="黑体" w:hint="eastAsia"/>
          <w:color w:val="000000" w:themeColor="text1"/>
          <w:szCs w:val="32"/>
        </w:rPr>
        <w:t>1</w:t>
      </w:r>
    </w:p>
    <w:bookmarkEnd w:id="0"/>
    <w:p w:rsidR="001601DB" w:rsidRDefault="001601DB">
      <w:pPr>
        <w:widowControl w:val="0"/>
        <w:spacing w:line="570" w:lineRule="exact"/>
        <w:jc w:val="center"/>
        <w:rPr>
          <w:color w:val="000000" w:themeColor="text1"/>
          <w:szCs w:val="32"/>
        </w:rPr>
      </w:pPr>
    </w:p>
    <w:p w:rsidR="001601DB" w:rsidRDefault="003F1325">
      <w:pPr>
        <w:widowControl w:val="0"/>
        <w:tabs>
          <w:tab w:val="left" w:pos="540"/>
        </w:tabs>
        <w:adjustRightInd w:val="0"/>
        <w:snapToGrid w:val="0"/>
        <w:spacing w:line="570" w:lineRule="exact"/>
        <w:jc w:val="center"/>
        <w:rPr>
          <w:rFonts w:eastAsia="方正小标宋_GBK"/>
          <w:color w:val="000000" w:themeColor="text1"/>
          <w:sz w:val="44"/>
          <w:szCs w:val="44"/>
        </w:rPr>
      </w:pPr>
      <w:r>
        <w:rPr>
          <w:rFonts w:eastAsia="方正小标宋_GBK"/>
          <w:color w:val="000000" w:themeColor="text1"/>
          <w:sz w:val="44"/>
          <w:szCs w:val="44"/>
        </w:rPr>
        <w:t>四川省</w:t>
      </w:r>
      <w:r>
        <w:rPr>
          <w:rFonts w:eastAsia="方正小标宋_GBK"/>
          <w:color w:val="000000" w:themeColor="text1"/>
          <w:sz w:val="44"/>
          <w:szCs w:val="44"/>
        </w:rPr>
        <w:t>“</w:t>
      </w:r>
      <w:r>
        <w:rPr>
          <w:rFonts w:eastAsia="方正小标宋_GBK"/>
          <w:color w:val="000000" w:themeColor="text1"/>
          <w:sz w:val="44"/>
          <w:szCs w:val="44"/>
        </w:rPr>
        <w:t>十四五</w:t>
      </w:r>
      <w:r>
        <w:rPr>
          <w:rFonts w:eastAsia="方正小标宋_GBK"/>
          <w:color w:val="000000" w:themeColor="text1"/>
          <w:sz w:val="44"/>
          <w:szCs w:val="44"/>
        </w:rPr>
        <w:t>”</w:t>
      </w:r>
      <w:r>
        <w:rPr>
          <w:rFonts w:eastAsia="方正小标宋_GBK"/>
          <w:color w:val="000000" w:themeColor="text1"/>
          <w:sz w:val="44"/>
          <w:szCs w:val="44"/>
        </w:rPr>
        <w:t>川猪重大科技专项</w:t>
      </w:r>
    </w:p>
    <w:p w:rsidR="001601DB" w:rsidRDefault="003F1325">
      <w:pPr>
        <w:widowControl w:val="0"/>
        <w:tabs>
          <w:tab w:val="left" w:pos="540"/>
        </w:tabs>
        <w:adjustRightInd w:val="0"/>
        <w:snapToGrid w:val="0"/>
        <w:spacing w:line="570" w:lineRule="exact"/>
        <w:jc w:val="center"/>
        <w:rPr>
          <w:rFonts w:eastAsia="方正小标宋_GBK"/>
          <w:color w:val="000000" w:themeColor="text1"/>
          <w:sz w:val="44"/>
          <w:szCs w:val="44"/>
        </w:rPr>
      </w:pPr>
      <w:r>
        <w:rPr>
          <w:rFonts w:eastAsia="方正小标宋_GBK" w:hint="eastAsia"/>
          <w:color w:val="000000" w:themeColor="text1"/>
          <w:sz w:val="44"/>
          <w:szCs w:val="44"/>
        </w:rPr>
        <w:t>项目</w:t>
      </w:r>
      <w:r>
        <w:rPr>
          <w:rFonts w:eastAsia="方正小标宋_GBK"/>
          <w:color w:val="000000" w:themeColor="text1"/>
          <w:sz w:val="44"/>
          <w:szCs w:val="44"/>
        </w:rPr>
        <w:t>申报指南</w:t>
      </w:r>
    </w:p>
    <w:p w:rsidR="001601DB" w:rsidRDefault="003F1325">
      <w:pPr>
        <w:widowControl w:val="0"/>
        <w:spacing w:line="570" w:lineRule="exact"/>
        <w:jc w:val="center"/>
        <w:rPr>
          <w:rFonts w:eastAsia="楷体_GB2312"/>
          <w:color w:val="000000" w:themeColor="text1"/>
          <w:szCs w:val="32"/>
        </w:rPr>
      </w:pPr>
      <w:r>
        <w:rPr>
          <w:rFonts w:eastAsia="楷体_GB2312"/>
          <w:color w:val="000000" w:themeColor="text1"/>
          <w:szCs w:val="32"/>
        </w:rPr>
        <w:t>在线填写</w:t>
      </w:r>
      <w:r>
        <w:rPr>
          <w:rFonts w:eastAsia="楷体_GB2312"/>
          <w:color w:val="000000" w:themeColor="text1"/>
          <w:szCs w:val="32"/>
        </w:rPr>
        <w:t>“</w:t>
      </w:r>
      <w:r>
        <w:rPr>
          <w:rFonts w:eastAsia="楷体_GB2312"/>
          <w:color w:val="000000" w:themeColor="text1"/>
          <w:szCs w:val="32"/>
        </w:rPr>
        <w:t>四川省重大科技专项项目（课题）可行性</w:t>
      </w:r>
    </w:p>
    <w:p w:rsidR="001601DB" w:rsidRDefault="003F1325">
      <w:pPr>
        <w:widowControl w:val="0"/>
        <w:spacing w:line="570" w:lineRule="exact"/>
        <w:jc w:val="center"/>
        <w:rPr>
          <w:rFonts w:eastAsia="楷体_GB2312"/>
          <w:color w:val="000000" w:themeColor="text1"/>
          <w:szCs w:val="32"/>
        </w:rPr>
      </w:pPr>
      <w:r>
        <w:rPr>
          <w:rFonts w:eastAsia="楷体_GB2312"/>
          <w:color w:val="000000" w:themeColor="text1"/>
          <w:szCs w:val="32"/>
        </w:rPr>
        <w:t>研究报告（申报书）</w:t>
      </w:r>
      <w:r>
        <w:rPr>
          <w:rFonts w:eastAsia="楷体_GB2312"/>
          <w:color w:val="000000" w:themeColor="text1"/>
          <w:szCs w:val="32"/>
        </w:rPr>
        <w:t>”</w:t>
      </w:r>
    </w:p>
    <w:p w:rsidR="001601DB" w:rsidRDefault="001601DB">
      <w:pPr>
        <w:widowControl w:val="0"/>
        <w:spacing w:line="570" w:lineRule="exact"/>
        <w:jc w:val="center"/>
        <w:rPr>
          <w:color w:val="000000" w:themeColor="text1"/>
          <w:szCs w:val="32"/>
        </w:rPr>
      </w:pPr>
    </w:p>
    <w:p w:rsidR="001601DB" w:rsidRDefault="003F1325">
      <w:pPr>
        <w:widowControl w:val="0"/>
        <w:numPr>
          <w:ilvl w:val="0"/>
          <w:numId w:val="1"/>
        </w:numPr>
        <w:tabs>
          <w:tab w:val="left" w:pos="540"/>
        </w:tabs>
        <w:adjustRightInd w:val="0"/>
        <w:snapToGrid w:val="0"/>
        <w:spacing w:line="560" w:lineRule="exact"/>
        <w:jc w:val="both"/>
        <w:rPr>
          <w:rFonts w:eastAsia="黑体"/>
          <w:color w:val="000000" w:themeColor="text1"/>
          <w:szCs w:val="32"/>
        </w:rPr>
      </w:pPr>
      <w:r>
        <w:rPr>
          <w:rFonts w:eastAsia="黑体"/>
          <w:color w:val="000000" w:themeColor="text1"/>
          <w:szCs w:val="32"/>
        </w:rPr>
        <w:t>绩效目标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育成优质高效新品种</w:t>
      </w:r>
      <w:r>
        <w:rPr>
          <w:color w:val="000000" w:themeColor="text1"/>
          <w:szCs w:val="32"/>
        </w:rPr>
        <w:t>（</w:t>
      </w:r>
      <w:r>
        <w:rPr>
          <w:rFonts w:hint="eastAsia"/>
          <w:color w:val="000000" w:themeColor="text1"/>
          <w:szCs w:val="32"/>
        </w:rPr>
        <w:t>配套系</w:t>
      </w:r>
      <w:r>
        <w:rPr>
          <w:color w:val="000000" w:themeColor="text1"/>
          <w:szCs w:val="32"/>
        </w:rPr>
        <w:t>）</w:t>
      </w:r>
      <w:r>
        <w:rPr>
          <w:rFonts w:hint="eastAsia"/>
          <w:color w:val="000000" w:themeColor="text1"/>
          <w:szCs w:val="32"/>
        </w:rPr>
        <w:t>1</w:t>
      </w:r>
      <w:r>
        <w:rPr>
          <w:rFonts w:hint="eastAsia"/>
          <w:color w:val="000000" w:themeColor="text1"/>
          <w:szCs w:val="32"/>
        </w:rPr>
        <w:t>个，创制育种新材料</w:t>
      </w:r>
      <w:r>
        <w:rPr>
          <w:rFonts w:hint="eastAsia"/>
          <w:color w:val="000000" w:themeColor="text1"/>
          <w:szCs w:val="32"/>
        </w:rPr>
        <w:t>2</w:t>
      </w:r>
      <w:r>
        <w:rPr>
          <w:rFonts w:hint="eastAsia"/>
          <w:color w:val="000000" w:themeColor="text1"/>
          <w:szCs w:val="32"/>
        </w:rPr>
        <w:t>个</w:t>
      </w:r>
      <w:r>
        <w:rPr>
          <w:rFonts w:ascii="仿宋_GB2312" w:hint="eastAsia"/>
          <w:color w:val="000000" w:themeColor="text1"/>
          <w:szCs w:val="32"/>
        </w:rPr>
        <w:t>；</w:t>
      </w:r>
      <w:r>
        <w:rPr>
          <w:color w:val="000000" w:themeColor="text1"/>
          <w:szCs w:val="32"/>
        </w:rPr>
        <w:t>突破关键核心技术</w:t>
      </w:r>
      <w:r>
        <w:rPr>
          <w:color w:val="000000" w:themeColor="text1"/>
          <w:szCs w:val="32"/>
        </w:rPr>
        <w:t>10</w:t>
      </w:r>
      <w:r>
        <w:rPr>
          <w:color w:val="000000" w:themeColor="text1"/>
          <w:szCs w:val="32"/>
        </w:rPr>
        <w:t>项，</w:t>
      </w:r>
      <w:r>
        <w:rPr>
          <w:rFonts w:hint="eastAsia"/>
          <w:color w:val="000000" w:themeColor="text1"/>
          <w:szCs w:val="32"/>
        </w:rPr>
        <w:t>开发</w:t>
      </w:r>
      <w:r>
        <w:rPr>
          <w:color w:val="000000" w:themeColor="text1"/>
          <w:szCs w:val="32"/>
        </w:rPr>
        <w:t>创新产品</w:t>
      </w:r>
      <w:r>
        <w:rPr>
          <w:color w:val="000000" w:themeColor="text1"/>
          <w:szCs w:val="32"/>
        </w:rPr>
        <w:t>20</w:t>
      </w:r>
      <w:r>
        <w:rPr>
          <w:color w:val="000000" w:themeColor="text1"/>
          <w:szCs w:val="32"/>
        </w:rPr>
        <w:t>个</w:t>
      </w:r>
      <w:r>
        <w:rPr>
          <w:rFonts w:ascii="仿宋_GB2312" w:hint="eastAsia"/>
          <w:color w:val="000000" w:themeColor="text1"/>
          <w:szCs w:val="32"/>
        </w:rPr>
        <w:t>；</w:t>
      </w:r>
      <w:r>
        <w:rPr>
          <w:color w:val="000000" w:themeColor="text1"/>
        </w:rPr>
        <w:t>建成示范基地</w:t>
      </w:r>
      <w:r>
        <w:rPr>
          <w:color w:val="000000" w:themeColor="text1"/>
        </w:rPr>
        <w:t>1</w:t>
      </w:r>
      <w:r>
        <w:rPr>
          <w:rFonts w:hint="eastAsia"/>
          <w:color w:val="000000" w:themeColor="text1"/>
        </w:rPr>
        <w:t>5</w:t>
      </w:r>
      <w:r>
        <w:rPr>
          <w:color w:val="000000" w:themeColor="text1"/>
        </w:rPr>
        <w:t>个，培育</w:t>
      </w:r>
      <w:r>
        <w:rPr>
          <w:rFonts w:hint="eastAsia"/>
          <w:color w:val="000000" w:themeColor="text1"/>
        </w:rPr>
        <w:t>年产值超亿元的种业</w:t>
      </w:r>
      <w:r>
        <w:rPr>
          <w:color w:val="000000" w:themeColor="text1"/>
        </w:rPr>
        <w:t>企业</w:t>
      </w:r>
      <w:r>
        <w:rPr>
          <w:rFonts w:hint="eastAsia"/>
          <w:color w:val="000000" w:themeColor="text1"/>
        </w:rPr>
        <w:t>3</w:t>
      </w:r>
      <w:r>
        <w:rPr>
          <w:color w:val="000000" w:themeColor="text1"/>
        </w:rPr>
        <w:t>家</w:t>
      </w:r>
      <w:r>
        <w:rPr>
          <w:rFonts w:hint="eastAsia"/>
          <w:color w:val="000000" w:themeColor="text1"/>
        </w:rPr>
        <w:t>以上</w:t>
      </w:r>
      <w:r>
        <w:rPr>
          <w:color w:val="000000" w:themeColor="text1"/>
        </w:rPr>
        <w:t>，</w:t>
      </w:r>
      <w:r>
        <w:rPr>
          <w:color w:val="000000" w:themeColor="text1"/>
          <w:szCs w:val="32"/>
        </w:rPr>
        <w:t>带动新增产值</w:t>
      </w:r>
      <w:r>
        <w:rPr>
          <w:rFonts w:hint="eastAsia"/>
          <w:color w:val="000000" w:themeColor="text1"/>
          <w:szCs w:val="32"/>
        </w:rPr>
        <w:t>15</w:t>
      </w:r>
      <w:r>
        <w:rPr>
          <w:color w:val="000000" w:themeColor="text1"/>
          <w:szCs w:val="32"/>
        </w:rPr>
        <w:t>亿</w:t>
      </w:r>
      <w:r>
        <w:rPr>
          <w:rFonts w:hint="eastAsia"/>
          <w:color w:val="000000" w:themeColor="text1"/>
          <w:szCs w:val="32"/>
        </w:rPr>
        <w:t>元</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rFonts w:eastAsia="黑体"/>
          <w:color w:val="000000" w:themeColor="text1"/>
          <w:szCs w:val="32"/>
        </w:rPr>
      </w:pPr>
      <w:r>
        <w:rPr>
          <w:rFonts w:eastAsia="黑体"/>
          <w:color w:val="000000" w:themeColor="text1"/>
          <w:szCs w:val="32"/>
        </w:rPr>
        <w:t>二、实施周期</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2021</w:t>
      </w:r>
      <w:r>
        <w:rPr>
          <w:color w:val="000000" w:themeColor="text1"/>
          <w:szCs w:val="32"/>
        </w:rPr>
        <w:t>年</w:t>
      </w:r>
      <w:r>
        <w:rPr>
          <w:color w:val="000000" w:themeColor="text1"/>
          <w:szCs w:val="32"/>
        </w:rPr>
        <w:t>7</w:t>
      </w:r>
      <w:r>
        <w:rPr>
          <w:color w:val="000000" w:themeColor="text1"/>
          <w:szCs w:val="32"/>
        </w:rPr>
        <w:t>月</w:t>
      </w:r>
      <w:r>
        <w:rPr>
          <w:rFonts w:ascii="仿宋_GB2312" w:hAnsi="仿宋_GB2312" w:cs="仿宋_GB2312" w:hint="eastAsia"/>
          <w:color w:val="000000" w:themeColor="text1"/>
          <w:szCs w:val="32"/>
        </w:rPr>
        <w:t>—</w:t>
      </w:r>
      <w:r>
        <w:rPr>
          <w:color w:val="000000" w:themeColor="text1"/>
          <w:szCs w:val="32"/>
        </w:rPr>
        <w:t>2026</w:t>
      </w:r>
      <w:r>
        <w:rPr>
          <w:color w:val="000000" w:themeColor="text1"/>
          <w:szCs w:val="32"/>
        </w:rPr>
        <w:t>年</w:t>
      </w:r>
      <w:r>
        <w:rPr>
          <w:color w:val="000000" w:themeColor="text1"/>
          <w:szCs w:val="32"/>
        </w:rPr>
        <w:t>6</w:t>
      </w:r>
      <w:r>
        <w:rPr>
          <w:color w:val="000000" w:themeColor="text1"/>
          <w:szCs w:val="32"/>
        </w:rPr>
        <w:t>月</w:t>
      </w:r>
      <w:r>
        <w:rPr>
          <w:rFonts w:hint="eastAsia"/>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rFonts w:eastAsia="黑体"/>
          <w:color w:val="000000" w:themeColor="text1"/>
          <w:szCs w:val="32"/>
        </w:rPr>
      </w:pPr>
      <w:r>
        <w:rPr>
          <w:rFonts w:eastAsia="黑体"/>
          <w:color w:val="000000" w:themeColor="text1"/>
          <w:szCs w:val="32"/>
        </w:rPr>
        <w:t>三、资金支持方式</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财政资金采取前补助支持方式，</w:t>
      </w:r>
      <w:r>
        <w:rPr>
          <w:rFonts w:hint="eastAsia"/>
          <w:color w:val="000000" w:themeColor="text1"/>
          <w:szCs w:val="32"/>
        </w:rPr>
        <w:t>分批拨付</w:t>
      </w:r>
      <w:r>
        <w:rPr>
          <w:rFonts w:hint="eastAsia"/>
          <w:color w:val="000000" w:themeColor="text1"/>
          <w:szCs w:val="32"/>
        </w:rPr>
        <w:t>，即：</w:t>
      </w:r>
      <w:r>
        <w:rPr>
          <w:rFonts w:ascii="仿宋_GB2312" w:hint="eastAsia"/>
          <w:color w:val="000000" w:themeColor="text1"/>
          <w:szCs w:val="32"/>
        </w:rPr>
        <w:t>立项时拨付</w:t>
      </w:r>
      <w:r>
        <w:rPr>
          <w:rFonts w:ascii="仿宋_GB2312" w:hint="eastAsia"/>
          <w:color w:val="000000" w:themeColor="text1"/>
          <w:szCs w:val="32"/>
        </w:rPr>
        <w:t>6</w:t>
      </w:r>
      <w:r>
        <w:rPr>
          <w:rFonts w:ascii="仿宋_GB2312"/>
          <w:color w:val="000000" w:themeColor="text1"/>
          <w:szCs w:val="32"/>
        </w:rPr>
        <w:t>0</w:t>
      </w:r>
      <w:r>
        <w:rPr>
          <w:rFonts w:ascii="仿宋_GB2312" w:hint="eastAsia"/>
          <w:color w:val="000000" w:themeColor="text1"/>
          <w:szCs w:val="32"/>
        </w:rPr>
        <w:t>%</w:t>
      </w:r>
      <w:r>
        <w:rPr>
          <w:rFonts w:ascii="仿宋_GB2312" w:hint="eastAsia"/>
          <w:color w:val="000000" w:themeColor="text1"/>
          <w:szCs w:val="32"/>
        </w:rPr>
        <w:t>，通过中期评估后拨付</w:t>
      </w:r>
      <w:r>
        <w:rPr>
          <w:rFonts w:ascii="仿宋_GB2312" w:hint="eastAsia"/>
          <w:color w:val="000000" w:themeColor="text1"/>
          <w:szCs w:val="32"/>
        </w:rPr>
        <w:t>4</w:t>
      </w:r>
      <w:r>
        <w:rPr>
          <w:rFonts w:ascii="仿宋_GB2312"/>
          <w:color w:val="000000" w:themeColor="text1"/>
          <w:szCs w:val="32"/>
        </w:rPr>
        <w:t>0</w:t>
      </w:r>
      <w:r>
        <w:rPr>
          <w:rFonts w:ascii="仿宋_GB2312" w:hint="eastAsia"/>
          <w:color w:val="000000" w:themeColor="text1"/>
          <w:szCs w:val="32"/>
        </w:rPr>
        <w:t>%</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rFonts w:eastAsia="黑体"/>
          <w:color w:val="000000" w:themeColor="text1"/>
          <w:szCs w:val="32"/>
        </w:rPr>
      </w:pPr>
      <w:r>
        <w:rPr>
          <w:rFonts w:eastAsia="黑体"/>
          <w:color w:val="000000" w:themeColor="text1"/>
          <w:szCs w:val="32"/>
        </w:rPr>
        <w:t>四、支持重点</w:t>
      </w:r>
    </w:p>
    <w:p w:rsidR="001601DB" w:rsidRDefault="003F1325">
      <w:pPr>
        <w:widowControl w:val="0"/>
        <w:tabs>
          <w:tab w:val="left" w:pos="540"/>
        </w:tabs>
        <w:adjustRightInd w:val="0"/>
        <w:snapToGrid w:val="0"/>
        <w:spacing w:line="560" w:lineRule="exact"/>
        <w:ind w:firstLineChars="200" w:firstLine="640"/>
        <w:jc w:val="both"/>
        <w:rPr>
          <w:rFonts w:ascii="楷体_GB2312" w:eastAsia="楷体_GB2312"/>
          <w:color w:val="000000" w:themeColor="text1"/>
          <w:szCs w:val="32"/>
        </w:rPr>
      </w:pPr>
      <w:r>
        <w:rPr>
          <w:rFonts w:ascii="楷体_GB2312" w:eastAsia="楷体_GB2312" w:hint="eastAsia"/>
          <w:color w:val="000000" w:themeColor="text1"/>
          <w:szCs w:val="32"/>
        </w:rPr>
        <w:t>项目</w:t>
      </w:r>
      <w:r>
        <w:rPr>
          <w:rFonts w:ascii="楷体_GB2312" w:eastAsia="楷体_GB2312" w:hint="eastAsia"/>
          <w:color w:val="000000" w:themeColor="text1"/>
          <w:szCs w:val="32"/>
        </w:rPr>
        <w:t>1.</w:t>
      </w:r>
      <w:r>
        <w:rPr>
          <w:rFonts w:ascii="楷体_GB2312" w:eastAsia="楷体_GB2312" w:hint="eastAsia"/>
          <w:color w:val="000000" w:themeColor="text1"/>
          <w:szCs w:val="32"/>
        </w:rPr>
        <w:t>川猪育种新材料创制与新品种培育。</w:t>
      </w:r>
    </w:p>
    <w:p w:rsidR="001601DB" w:rsidRDefault="003F1325">
      <w:pPr>
        <w:widowControl w:val="0"/>
        <w:tabs>
          <w:tab w:val="left" w:pos="540"/>
        </w:tabs>
        <w:adjustRightInd w:val="0"/>
        <w:snapToGrid w:val="0"/>
        <w:spacing w:line="560" w:lineRule="exact"/>
        <w:ind w:firstLineChars="200" w:firstLine="640"/>
        <w:jc w:val="both"/>
        <w:rPr>
          <w:color w:val="000000" w:themeColor="text1"/>
        </w:rPr>
      </w:pPr>
      <w:r>
        <w:rPr>
          <w:color w:val="000000" w:themeColor="text1"/>
        </w:rPr>
        <w:t>1.1</w:t>
      </w:r>
      <w:r>
        <w:rPr>
          <w:rFonts w:hint="eastAsia"/>
          <w:color w:val="000000" w:themeColor="text1"/>
        </w:rPr>
        <w:t>研究内容。本项目下设五个课题</w:t>
      </w:r>
      <w:r>
        <w:rPr>
          <w:color w:val="000000" w:themeColor="text1"/>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1</w:t>
      </w:r>
      <w:r>
        <w:rPr>
          <w:rFonts w:hint="eastAsia"/>
          <w:color w:val="000000" w:themeColor="text1"/>
          <w:szCs w:val="32"/>
        </w:rPr>
        <w:t>：</w:t>
      </w:r>
      <w:r>
        <w:rPr>
          <w:color w:val="000000" w:themeColor="text1"/>
          <w:szCs w:val="32"/>
        </w:rPr>
        <w:t>川猪优势特色基因发掘。</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充分利用我省丰富的猪品种资源，采用基因组、转录组、蛋</w:t>
      </w:r>
      <w:r>
        <w:rPr>
          <w:color w:val="000000" w:themeColor="text1"/>
        </w:rPr>
        <w:lastRenderedPageBreak/>
        <w:t>白组、代谢组等多组学联合分析技术，开展生长、肉质、抗逆、繁殖等重要性状的关键基因挖掘和遗传机制解析，筛选一批候选基因和关键变异。</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2</w:t>
      </w:r>
      <w:r>
        <w:rPr>
          <w:rFonts w:hint="eastAsia"/>
          <w:color w:val="000000" w:themeColor="text1"/>
          <w:szCs w:val="32"/>
        </w:rPr>
        <w:t>：</w:t>
      </w:r>
      <w:r>
        <w:rPr>
          <w:color w:val="000000" w:themeColor="text1"/>
          <w:szCs w:val="32"/>
        </w:rPr>
        <w:t>地方猪选育与优质川猪育种新材料创制。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立足我省丰富的地方猪品种资源，采用现代育种技术，开展内江猪、成华猪、雅南猪、青峪猪、藏猪等育种新材料创制；实施川藏黑猪配套系的持续选育与产业化开发，满足市场的多元化需求，提高含地方猪血缘优质肉猪市场占有率。</w:t>
      </w:r>
    </w:p>
    <w:p w:rsidR="001601DB" w:rsidRDefault="003F1325">
      <w:pPr>
        <w:widowControl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3</w:t>
      </w:r>
      <w:r>
        <w:rPr>
          <w:rFonts w:hint="eastAsia"/>
          <w:color w:val="000000" w:themeColor="text1"/>
          <w:szCs w:val="32"/>
        </w:rPr>
        <w:t>：</w:t>
      </w:r>
      <w:r>
        <w:rPr>
          <w:color w:val="000000" w:themeColor="text1"/>
          <w:szCs w:val="32"/>
        </w:rPr>
        <w:t>外种猪选育与川猪新品种（配套系）培育。</w:t>
      </w:r>
    </w:p>
    <w:p w:rsidR="001601DB" w:rsidRDefault="003F1325">
      <w:pPr>
        <w:widowControl w:val="0"/>
        <w:spacing w:line="560" w:lineRule="exact"/>
        <w:ind w:firstLineChars="200" w:firstLine="640"/>
        <w:jc w:val="both"/>
        <w:rPr>
          <w:color w:val="000000" w:themeColor="text1"/>
          <w:szCs w:val="32"/>
        </w:rPr>
      </w:pPr>
      <w:r>
        <w:rPr>
          <w:color w:val="000000" w:themeColor="text1"/>
        </w:rPr>
        <w:t>以我省现有外种猪品种资源为基</w:t>
      </w:r>
      <w:r>
        <w:rPr>
          <w:color w:val="000000" w:themeColor="text1"/>
        </w:rPr>
        <w:t>础，利用全基因组选择等现代育种技术开展持续世代选育，提高重要经济性状性能水平；通过精准杂种优势预测和大规模配合力研究，培育具有自主知识产权的优质高效川猪新品种（配套系），开展大规模示范应用，提高核心种猪自给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4</w:t>
      </w:r>
      <w:r>
        <w:rPr>
          <w:rFonts w:hint="eastAsia"/>
          <w:color w:val="000000" w:themeColor="text1"/>
          <w:szCs w:val="32"/>
        </w:rPr>
        <w:t>：</w:t>
      </w:r>
      <w:r>
        <w:rPr>
          <w:rFonts w:hint="eastAsia"/>
          <w:color w:val="000000" w:themeColor="text1"/>
          <w:szCs w:val="32"/>
        </w:rPr>
        <w:t>良种高效繁育技术创新。</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开展安全高效人工授精和精液冷冻技术体系研究、高效抗菌和抗病毒精液稀释液和保护液开发、精液稀释及冷冻制作保存与解冻程序优化、母猪妊娠期代谢组及影响繁殖效率的关键生物标志物筛选等研究，提高人工授精和冷冻精液制作与解冻的效率。以我省选育的外种猪、地方猪新品系为基础，开展不同品种、品系间杂交组合试验，研究筛选出杂种优势更好、综合生产效率更高的高效优质杂交组合。</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lastRenderedPageBreak/>
        <w:t>课题</w:t>
      </w:r>
      <w:r>
        <w:rPr>
          <w:rFonts w:hint="eastAsia"/>
          <w:color w:val="000000" w:themeColor="text1"/>
          <w:szCs w:val="32"/>
        </w:rPr>
        <w:t>5</w:t>
      </w:r>
      <w:r>
        <w:rPr>
          <w:rFonts w:hint="eastAsia"/>
          <w:color w:val="000000" w:themeColor="text1"/>
          <w:szCs w:val="32"/>
        </w:rPr>
        <w:t>：</w:t>
      </w:r>
      <w:r>
        <w:rPr>
          <w:color w:val="000000" w:themeColor="text1"/>
          <w:szCs w:val="32"/>
        </w:rPr>
        <w:t>高瘦肉率基因修饰猪创制。</w:t>
      </w:r>
    </w:p>
    <w:p w:rsidR="001601DB" w:rsidRDefault="003F1325">
      <w:pPr>
        <w:widowControl w:val="0"/>
        <w:tabs>
          <w:tab w:val="left" w:pos="540"/>
        </w:tabs>
        <w:adjustRightInd w:val="0"/>
        <w:snapToGrid w:val="0"/>
        <w:spacing w:line="560" w:lineRule="exact"/>
        <w:ind w:firstLineChars="200" w:firstLine="640"/>
        <w:jc w:val="both"/>
        <w:rPr>
          <w:rFonts w:eastAsia="宋体"/>
          <w:color w:val="000000" w:themeColor="text1"/>
          <w:szCs w:val="32"/>
        </w:rPr>
      </w:pPr>
      <w:r>
        <w:rPr>
          <w:color w:val="000000" w:themeColor="text1"/>
        </w:rPr>
        <w:t>对候选基因进行育种价值评估，筛选基因编辑重要靶点；利用基因编辑技术对猪瘦肉率等重要经济性状进行改良，创制基因修饰猪群体，为</w:t>
      </w:r>
      <w:r>
        <w:rPr>
          <w:color w:val="000000" w:themeColor="text1"/>
        </w:rPr>
        <w:t>抢占分子育种科技高地、应对未来需求奠定基础。</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1.2</w:t>
      </w:r>
      <w:r>
        <w:rPr>
          <w:color w:val="000000" w:themeColor="text1"/>
          <w:szCs w:val="32"/>
        </w:rPr>
        <w:t>考核指标。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筛选影响重要经济性状候选基因</w:t>
      </w:r>
      <w:r>
        <w:rPr>
          <w:color w:val="000000" w:themeColor="text1"/>
        </w:rPr>
        <w:t>100</w:t>
      </w:r>
      <w:r>
        <w:rPr>
          <w:color w:val="000000" w:themeColor="text1"/>
        </w:rPr>
        <w:t>个以上，评估</w:t>
      </w:r>
      <w:r>
        <w:rPr>
          <w:color w:val="000000" w:themeColor="text1"/>
        </w:rPr>
        <w:t>20</w:t>
      </w:r>
      <w:r>
        <w:rPr>
          <w:color w:val="000000" w:themeColor="text1"/>
        </w:rPr>
        <w:t>个候选基因的分子机制及育种价值；育成通过审定的川猪新品种（配套系）</w:t>
      </w:r>
      <w:r>
        <w:rPr>
          <w:color w:val="000000" w:themeColor="text1"/>
        </w:rPr>
        <w:t>1</w:t>
      </w:r>
      <w:r>
        <w:rPr>
          <w:rFonts w:hint="eastAsia"/>
          <w:color w:val="000000" w:themeColor="text1"/>
        </w:rPr>
        <w:t>—</w:t>
      </w:r>
      <w:r>
        <w:rPr>
          <w:color w:val="000000" w:themeColor="text1"/>
        </w:rPr>
        <w:t>2</w:t>
      </w:r>
      <w:r>
        <w:rPr>
          <w:color w:val="000000" w:themeColor="text1"/>
        </w:rPr>
        <w:t>个；外种猪核心群种猪质量达国际同期先进水平，</w:t>
      </w:r>
      <w:r>
        <w:rPr>
          <w:color w:val="000000" w:themeColor="text1"/>
        </w:rPr>
        <w:t>1</w:t>
      </w:r>
      <w:r>
        <w:rPr>
          <w:rFonts w:hint="eastAsia"/>
          <w:color w:val="000000" w:themeColor="text1"/>
        </w:rPr>
        <w:t>2</w:t>
      </w:r>
      <w:r>
        <w:rPr>
          <w:color w:val="000000" w:themeColor="text1"/>
        </w:rPr>
        <w:t>0 kg</w:t>
      </w:r>
      <w:r>
        <w:rPr>
          <w:color w:val="000000" w:themeColor="text1"/>
        </w:rPr>
        <w:t>体重日龄</w:t>
      </w:r>
      <w:r>
        <w:rPr>
          <w:color w:val="000000" w:themeColor="text1"/>
        </w:rPr>
        <w:t>1</w:t>
      </w:r>
      <w:r>
        <w:rPr>
          <w:rFonts w:hint="eastAsia"/>
          <w:color w:val="000000" w:themeColor="text1"/>
        </w:rPr>
        <w:t>6</w:t>
      </w:r>
      <w:r>
        <w:rPr>
          <w:color w:val="000000" w:themeColor="text1"/>
        </w:rPr>
        <w:t>5</w:t>
      </w:r>
      <w:r>
        <w:rPr>
          <w:color w:val="000000" w:themeColor="text1"/>
        </w:rPr>
        <w:t>天，</w:t>
      </w:r>
      <w:r>
        <w:rPr>
          <w:color w:val="000000" w:themeColor="text1"/>
        </w:rPr>
        <w:t>PSY 30</w:t>
      </w:r>
      <w:r>
        <w:rPr>
          <w:color w:val="000000" w:themeColor="text1"/>
        </w:rPr>
        <w:t>头，核心种猪自给率达</w:t>
      </w:r>
      <w:r>
        <w:rPr>
          <w:color w:val="000000" w:themeColor="text1"/>
        </w:rPr>
        <w:t>85%</w:t>
      </w:r>
      <w:r>
        <w:rPr>
          <w:color w:val="000000" w:themeColor="text1"/>
        </w:rPr>
        <w:t>以上；创制优质猪育种新材料</w:t>
      </w:r>
      <w:r>
        <w:rPr>
          <w:color w:val="000000" w:themeColor="text1"/>
        </w:rPr>
        <w:t>2</w:t>
      </w:r>
      <w:r>
        <w:rPr>
          <w:rFonts w:hint="eastAsia"/>
          <w:color w:val="000000" w:themeColor="text1"/>
        </w:rPr>
        <w:t>—</w:t>
      </w:r>
      <w:r>
        <w:rPr>
          <w:color w:val="000000" w:themeColor="text1"/>
        </w:rPr>
        <w:t>3</w:t>
      </w:r>
      <w:r>
        <w:rPr>
          <w:color w:val="000000" w:themeColor="text1"/>
        </w:rPr>
        <w:t>个，肌内脂肪含量达</w:t>
      </w:r>
      <w:r>
        <w:rPr>
          <w:color w:val="000000" w:themeColor="text1"/>
        </w:rPr>
        <w:t>3%</w:t>
      </w:r>
      <w:r>
        <w:rPr>
          <w:color w:val="000000" w:themeColor="text1"/>
        </w:rPr>
        <w:t>，含地方猪血缘优质肉猪市场占有率达</w:t>
      </w:r>
      <w:r>
        <w:rPr>
          <w:color w:val="000000" w:themeColor="text1"/>
        </w:rPr>
        <w:t>15%</w:t>
      </w:r>
      <w:r>
        <w:rPr>
          <w:color w:val="000000" w:themeColor="text1"/>
        </w:rPr>
        <w:t>以上；建立示范生产基地</w:t>
      </w:r>
      <w:r>
        <w:rPr>
          <w:color w:val="000000" w:themeColor="text1"/>
        </w:rPr>
        <w:t>10</w:t>
      </w:r>
      <w:r>
        <w:rPr>
          <w:color w:val="000000" w:themeColor="text1"/>
        </w:rPr>
        <w:t>个，示范生产商品猪</w:t>
      </w:r>
      <w:r>
        <w:rPr>
          <w:color w:val="000000" w:themeColor="text1"/>
        </w:rPr>
        <w:t>1000</w:t>
      </w:r>
      <w:r>
        <w:rPr>
          <w:color w:val="000000" w:themeColor="text1"/>
        </w:rPr>
        <w:t>万头；</w:t>
      </w:r>
      <w:r>
        <w:rPr>
          <w:rFonts w:hint="eastAsia"/>
          <w:color w:val="000000" w:themeColor="text1"/>
        </w:rPr>
        <w:t>建立高效人工授精技术体系，配怀率达</w:t>
      </w:r>
      <w:r>
        <w:rPr>
          <w:rFonts w:hint="eastAsia"/>
          <w:color w:val="000000" w:themeColor="text1"/>
        </w:rPr>
        <w:t>90%</w:t>
      </w:r>
      <w:r>
        <w:rPr>
          <w:rFonts w:hint="eastAsia"/>
          <w:color w:val="000000" w:themeColor="text1"/>
        </w:rPr>
        <w:t>以上；冷冻精液解冻活率达</w:t>
      </w:r>
      <w:r>
        <w:rPr>
          <w:rFonts w:hint="eastAsia"/>
          <w:color w:val="000000" w:themeColor="text1"/>
        </w:rPr>
        <w:t>0.5</w:t>
      </w:r>
      <w:r>
        <w:rPr>
          <w:rFonts w:hint="eastAsia"/>
          <w:color w:val="000000" w:themeColor="text1"/>
        </w:rPr>
        <w:t>级以上；筛选影响繁殖性能的生物标志物</w:t>
      </w:r>
      <w:r>
        <w:rPr>
          <w:rFonts w:hint="eastAsia"/>
          <w:color w:val="000000" w:themeColor="text1"/>
        </w:rPr>
        <w:t>5</w:t>
      </w:r>
      <w:r>
        <w:rPr>
          <w:rFonts w:hint="eastAsia"/>
          <w:color w:val="000000" w:themeColor="text1"/>
        </w:rPr>
        <w:t>个；筛选外种猪高效杂交组合</w:t>
      </w:r>
      <w:r>
        <w:rPr>
          <w:color w:val="000000" w:themeColor="text1"/>
        </w:rPr>
        <w:t>1</w:t>
      </w:r>
      <w:r>
        <w:rPr>
          <w:rFonts w:hint="eastAsia"/>
          <w:color w:val="000000" w:themeColor="text1"/>
        </w:rPr>
        <w:t>—</w:t>
      </w:r>
      <w:r>
        <w:rPr>
          <w:color w:val="000000" w:themeColor="text1"/>
        </w:rPr>
        <w:t>2</w:t>
      </w:r>
      <w:r>
        <w:rPr>
          <w:rFonts w:hint="eastAsia"/>
          <w:color w:val="000000" w:themeColor="text1"/>
        </w:rPr>
        <w:t>个，筛选地方猪优质杂交组合</w:t>
      </w:r>
      <w:r>
        <w:rPr>
          <w:color w:val="000000" w:themeColor="text1"/>
        </w:rPr>
        <w:t>1</w:t>
      </w:r>
      <w:r>
        <w:rPr>
          <w:rFonts w:hint="eastAsia"/>
          <w:color w:val="000000" w:themeColor="text1"/>
        </w:rPr>
        <w:t>—</w:t>
      </w:r>
      <w:r>
        <w:rPr>
          <w:color w:val="000000" w:themeColor="text1"/>
        </w:rPr>
        <w:t>2</w:t>
      </w:r>
      <w:r>
        <w:rPr>
          <w:rFonts w:hint="eastAsia"/>
          <w:color w:val="000000" w:themeColor="text1"/>
        </w:rPr>
        <w:t>个；</w:t>
      </w:r>
      <w:r>
        <w:rPr>
          <w:color w:val="000000" w:themeColor="text1"/>
        </w:rPr>
        <w:t>确定基因编辑重要靶点</w:t>
      </w:r>
      <w:r>
        <w:rPr>
          <w:color w:val="000000" w:themeColor="text1"/>
        </w:rPr>
        <w:t>5</w:t>
      </w:r>
      <w:r>
        <w:rPr>
          <w:color w:val="000000" w:themeColor="text1"/>
        </w:rPr>
        <w:t>个，创制高瘦肉率基因编辑猪群</w:t>
      </w:r>
      <w:r>
        <w:rPr>
          <w:color w:val="000000" w:themeColor="text1"/>
        </w:rPr>
        <w:t>1</w:t>
      </w:r>
      <w:r>
        <w:rPr>
          <w:color w:val="000000" w:themeColor="text1"/>
        </w:rPr>
        <w:t>个，瘦肉率提高</w:t>
      </w:r>
      <w:r>
        <w:rPr>
          <w:color w:val="000000" w:themeColor="text1"/>
        </w:rPr>
        <w:t>3</w:t>
      </w:r>
      <w:r>
        <w:rPr>
          <w:rFonts w:hint="eastAsia"/>
          <w:color w:val="000000" w:themeColor="text1"/>
        </w:rPr>
        <w:t>—</w:t>
      </w:r>
      <w:r>
        <w:rPr>
          <w:color w:val="000000" w:themeColor="text1"/>
        </w:rPr>
        <w:t>5</w:t>
      </w:r>
      <w:r>
        <w:rPr>
          <w:color w:val="000000" w:themeColor="text1"/>
        </w:rPr>
        <w:t>个百分点。</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1.</w:t>
      </w:r>
      <w:r>
        <w:rPr>
          <w:color w:val="000000" w:themeColor="text1"/>
          <w:szCs w:val="32"/>
        </w:rPr>
        <w:t>3</w:t>
      </w:r>
      <w:r>
        <w:rPr>
          <w:color w:val="000000" w:themeColor="text1"/>
          <w:szCs w:val="32"/>
        </w:rPr>
        <w:t>有关说明：拟支持</w:t>
      </w:r>
      <w:r>
        <w:rPr>
          <w:color w:val="000000" w:themeColor="text1"/>
          <w:szCs w:val="32"/>
        </w:rPr>
        <w:t>1</w:t>
      </w:r>
      <w:r>
        <w:rPr>
          <w:color w:val="000000" w:themeColor="text1"/>
          <w:szCs w:val="32"/>
        </w:rPr>
        <w:t>项，支持经费不超过</w:t>
      </w:r>
      <w:r>
        <w:rPr>
          <w:rFonts w:hint="eastAsia"/>
          <w:color w:val="000000" w:themeColor="text1"/>
          <w:szCs w:val="32"/>
        </w:rPr>
        <w:t>30</w:t>
      </w:r>
      <w:r>
        <w:rPr>
          <w:color w:val="000000" w:themeColor="text1"/>
          <w:szCs w:val="32"/>
        </w:rPr>
        <w:t>00</w:t>
      </w:r>
      <w:r>
        <w:rPr>
          <w:color w:val="000000" w:themeColor="text1"/>
          <w:szCs w:val="32"/>
        </w:rPr>
        <w:t>万元。</w:t>
      </w:r>
    </w:p>
    <w:p w:rsidR="001601DB" w:rsidRDefault="003F1325">
      <w:pPr>
        <w:widowControl w:val="0"/>
        <w:tabs>
          <w:tab w:val="left" w:pos="540"/>
        </w:tabs>
        <w:adjustRightInd w:val="0"/>
        <w:snapToGrid w:val="0"/>
        <w:spacing w:line="560" w:lineRule="exact"/>
        <w:ind w:firstLineChars="200" w:firstLine="640"/>
        <w:jc w:val="both"/>
        <w:rPr>
          <w:rFonts w:ascii="楷体_GB2312" w:eastAsia="楷体_GB2312"/>
          <w:color w:val="000000" w:themeColor="text1"/>
          <w:szCs w:val="32"/>
        </w:rPr>
      </w:pPr>
      <w:r>
        <w:rPr>
          <w:rFonts w:ascii="楷体_GB2312" w:eastAsia="楷体_GB2312"/>
          <w:color w:val="000000" w:themeColor="text1"/>
          <w:szCs w:val="32"/>
        </w:rPr>
        <w:t>项目</w:t>
      </w:r>
      <w:r>
        <w:rPr>
          <w:rFonts w:ascii="楷体_GB2312" w:eastAsia="楷体_GB2312"/>
          <w:color w:val="000000" w:themeColor="text1"/>
          <w:szCs w:val="32"/>
        </w:rPr>
        <w:t>2.</w:t>
      </w:r>
      <w:r>
        <w:rPr>
          <w:rFonts w:ascii="楷体_GB2312" w:eastAsia="楷体_GB2312"/>
          <w:color w:val="000000" w:themeColor="text1"/>
          <w:szCs w:val="32"/>
        </w:rPr>
        <w:t>川猪精准营养与非粮型营养源创制。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2.1</w:t>
      </w:r>
      <w:r>
        <w:rPr>
          <w:rFonts w:hint="eastAsia"/>
          <w:color w:val="000000" w:themeColor="text1"/>
          <w:szCs w:val="32"/>
        </w:rPr>
        <w:t>研究内容。本项目下设五个课题</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1</w:t>
      </w:r>
      <w:r>
        <w:rPr>
          <w:rFonts w:hint="eastAsia"/>
          <w:color w:val="000000" w:themeColor="text1"/>
          <w:szCs w:val="32"/>
        </w:rPr>
        <w:t>：</w:t>
      </w:r>
      <w:r>
        <w:rPr>
          <w:color w:val="000000" w:themeColor="text1"/>
          <w:szCs w:val="32"/>
        </w:rPr>
        <w:t>非粮型营养源的创制。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以适应猪的生物学特征为目标，研究运用生物技术改造菜籽粕、糠麸、糟渣等天然非粮饲料的化学结构，表征生物改造前后</w:t>
      </w:r>
      <w:r>
        <w:rPr>
          <w:color w:val="000000" w:themeColor="text1"/>
        </w:rPr>
        <w:lastRenderedPageBreak/>
        <w:t>原料分子结构特征差异；比较研究改造前后原料在动物消化道的动态降解及营养价值变化规律，构建新型原料的营养价值数据库；研究形成标准化改造工艺；创制非粮型原料改性优质蛋白或能量营养源产品。</w:t>
      </w:r>
    </w:p>
    <w:p w:rsidR="001601DB" w:rsidRDefault="003F1325">
      <w:pPr>
        <w:widowControl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2</w:t>
      </w:r>
      <w:r>
        <w:rPr>
          <w:rFonts w:hint="eastAsia"/>
          <w:color w:val="000000" w:themeColor="text1"/>
          <w:szCs w:val="32"/>
        </w:rPr>
        <w:t>：</w:t>
      </w:r>
      <w:r>
        <w:rPr>
          <w:color w:val="000000" w:themeColor="text1"/>
          <w:szCs w:val="32"/>
        </w:rPr>
        <w:t>安全无抗添加剂的创制。</w:t>
      </w:r>
    </w:p>
    <w:p w:rsidR="001601DB" w:rsidRDefault="003F1325">
      <w:pPr>
        <w:widowControl w:val="0"/>
        <w:spacing w:line="560" w:lineRule="exact"/>
        <w:ind w:firstLineChars="200" w:firstLine="640"/>
        <w:jc w:val="both"/>
        <w:rPr>
          <w:color w:val="000000" w:themeColor="text1"/>
          <w:szCs w:val="32"/>
        </w:rPr>
      </w:pPr>
      <w:r>
        <w:rPr>
          <w:color w:val="000000" w:themeColor="text1"/>
        </w:rPr>
        <w:t>系统评估植物精油、益生素、酸化剂等抗生素替代品的作用效果与机理，筛选适宜替抗组合，建立常用替抗饲料添加剂配伍与应用技术；利用微生物发酵、基因工程等生物技术手段，创制包括抗菌肽、免疫调节剂等</w:t>
      </w:r>
      <w:r>
        <w:rPr>
          <w:color w:val="000000" w:themeColor="text1"/>
        </w:rPr>
        <w:t>系列新型替抗饲料添加剂（预混料）产品，建立产品配套应用技术。</w:t>
      </w:r>
    </w:p>
    <w:p w:rsidR="001601DB" w:rsidRDefault="003F1325">
      <w:pPr>
        <w:widowControl w:val="0"/>
        <w:spacing w:line="560" w:lineRule="exact"/>
        <w:ind w:firstLineChars="200" w:firstLine="640"/>
        <w:rPr>
          <w:color w:val="000000" w:themeColor="text1"/>
          <w:szCs w:val="32"/>
        </w:rPr>
      </w:pPr>
      <w:r>
        <w:rPr>
          <w:rFonts w:hint="eastAsia"/>
          <w:color w:val="000000" w:themeColor="text1"/>
          <w:szCs w:val="32"/>
        </w:rPr>
        <w:t>课题</w:t>
      </w:r>
      <w:r>
        <w:rPr>
          <w:rFonts w:hint="eastAsia"/>
          <w:color w:val="000000" w:themeColor="text1"/>
          <w:szCs w:val="32"/>
        </w:rPr>
        <w:t>3</w:t>
      </w:r>
      <w:r>
        <w:rPr>
          <w:rFonts w:hint="eastAsia"/>
          <w:color w:val="000000" w:themeColor="text1"/>
          <w:szCs w:val="32"/>
        </w:rPr>
        <w:t>：</w:t>
      </w:r>
      <w:r>
        <w:rPr>
          <w:color w:val="000000" w:themeColor="text1"/>
          <w:szCs w:val="32"/>
        </w:rPr>
        <w:t>种猪高效繁殖营养饲料技术体系</w:t>
      </w:r>
      <w:r>
        <w:rPr>
          <w:rFonts w:hint="eastAsia"/>
          <w:color w:val="000000" w:themeColor="text1"/>
          <w:szCs w:val="32"/>
        </w:rPr>
        <w:t>研发</w:t>
      </w:r>
      <w:r>
        <w:rPr>
          <w:color w:val="000000" w:themeColor="text1"/>
          <w:szCs w:val="32"/>
        </w:rPr>
        <w:t>。</w:t>
      </w:r>
    </w:p>
    <w:p w:rsidR="001601DB" w:rsidRDefault="003F1325">
      <w:pPr>
        <w:widowControl w:val="0"/>
        <w:spacing w:line="560" w:lineRule="exact"/>
        <w:ind w:firstLineChars="200" w:firstLine="640"/>
        <w:rPr>
          <w:color w:val="000000" w:themeColor="text1"/>
          <w:szCs w:val="32"/>
        </w:rPr>
      </w:pPr>
      <w:r>
        <w:rPr>
          <w:color w:val="000000" w:themeColor="text1"/>
        </w:rPr>
        <w:t>针对母猪繁殖效率较低、遗传潜力未能充分发挥的现状，以后备猪和能繁母猪不同生理阶段的饲养目标为基础，研究构建其精准的营养需要参数；探究蛋白质源、能量源等不同营养源对母猪繁殖性能的影响，优化构建母猪不同生理阶段的饲料供给模型和典型配方；以母猪全繁殖周期繁殖性能为基础，研究</w:t>
      </w:r>
      <w:r>
        <w:rPr>
          <w:rFonts w:hint="eastAsia"/>
          <w:color w:val="000000" w:themeColor="text1"/>
        </w:rPr>
        <w:t>全局</w:t>
      </w:r>
      <w:r>
        <w:rPr>
          <w:color w:val="000000" w:themeColor="text1"/>
        </w:rPr>
        <w:t>饲料产品。解析影响种公猪繁殖性能的主要因素，构建适宜我省条件下的种公猪营养饲料方案。</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4</w:t>
      </w:r>
      <w:r>
        <w:rPr>
          <w:rFonts w:hint="eastAsia"/>
          <w:color w:val="000000" w:themeColor="text1"/>
          <w:szCs w:val="32"/>
        </w:rPr>
        <w:t>：</w:t>
      </w:r>
      <w:r>
        <w:rPr>
          <w:color w:val="000000" w:themeColor="text1"/>
          <w:szCs w:val="32"/>
        </w:rPr>
        <w:t>仔猪健康营养饲料技术体系</w:t>
      </w:r>
      <w:r>
        <w:rPr>
          <w:rFonts w:hint="eastAsia"/>
          <w:color w:val="000000" w:themeColor="text1"/>
          <w:szCs w:val="32"/>
        </w:rPr>
        <w:t>研发</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针对饲料无抗和仔猪特殊生理阶段背景，研究仔猪断奶腹泻营养生理和抗腹泻营养措施；探究营养与免疫的关系，构建缓解特异性病原微生物（大肠杆菌、轮状病毒等）免疫损伤的营养方</w:t>
      </w:r>
      <w:r>
        <w:rPr>
          <w:color w:val="000000" w:themeColor="text1"/>
        </w:rPr>
        <w:lastRenderedPageBreak/>
        <w:t>案；解析肠道微生物与肠道健康的关系，创制微生物营养调控方案与产品；构建保障仔猪健康、降低发病率和死亡率的最适营养需要参数和饲料营养结构平衡模式，创制仔猪保健营养饲料新产品。</w:t>
      </w:r>
    </w:p>
    <w:p w:rsidR="001601DB" w:rsidRDefault="003F1325">
      <w:pPr>
        <w:widowControl w:val="0"/>
        <w:spacing w:line="560" w:lineRule="exact"/>
        <w:ind w:firstLineChars="200" w:firstLine="640"/>
        <w:rPr>
          <w:color w:val="000000" w:themeColor="text1"/>
          <w:szCs w:val="32"/>
        </w:rPr>
      </w:pPr>
      <w:r>
        <w:rPr>
          <w:rFonts w:hint="eastAsia"/>
          <w:color w:val="000000" w:themeColor="text1"/>
          <w:szCs w:val="32"/>
        </w:rPr>
        <w:t>课题</w:t>
      </w:r>
      <w:r>
        <w:rPr>
          <w:rFonts w:hint="eastAsia"/>
          <w:color w:val="000000" w:themeColor="text1"/>
          <w:szCs w:val="32"/>
        </w:rPr>
        <w:t>5</w:t>
      </w:r>
      <w:r>
        <w:rPr>
          <w:rFonts w:hint="eastAsia"/>
          <w:color w:val="000000" w:themeColor="text1"/>
          <w:szCs w:val="32"/>
        </w:rPr>
        <w:t>：</w:t>
      </w:r>
      <w:r>
        <w:rPr>
          <w:color w:val="000000" w:themeColor="text1"/>
          <w:szCs w:val="32"/>
        </w:rPr>
        <w:t>生长育肥猪高效优质生产营养饲料技术体系</w:t>
      </w:r>
      <w:r>
        <w:rPr>
          <w:rFonts w:hint="eastAsia"/>
          <w:color w:val="000000" w:themeColor="text1"/>
          <w:szCs w:val="32"/>
        </w:rPr>
        <w:t>研发</w:t>
      </w:r>
      <w:r>
        <w:rPr>
          <w:color w:val="000000" w:themeColor="text1"/>
          <w:szCs w:val="32"/>
        </w:rPr>
        <w:t>。</w:t>
      </w:r>
    </w:p>
    <w:p w:rsidR="001601DB" w:rsidRDefault="003F1325">
      <w:pPr>
        <w:widowControl w:val="0"/>
        <w:spacing w:line="560" w:lineRule="exact"/>
        <w:ind w:firstLineChars="200" w:firstLine="640"/>
        <w:rPr>
          <w:color w:val="000000" w:themeColor="text1"/>
          <w:szCs w:val="32"/>
        </w:rPr>
      </w:pPr>
      <w:r>
        <w:rPr>
          <w:color w:val="000000" w:themeColor="text1"/>
        </w:rPr>
        <w:t>针对生长育肥猪生产效率低、造肉成本高、肉质不稳定等产业问题，研究建立生长育肥猪精准营养需求参数；评价非粮型饲料原料营养价</w:t>
      </w:r>
      <w:r>
        <w:rPr>
          <w:color w:val="000000" w:themeColor="text1"/>
        </w:rPr>
        <w:t>值，构建数据库；研究饲料营养对猪肉安全与品质的影响，构建保障猪肉安全品质和食用品质的调控技术；优化构建不同品种（品系）、不同生长阶段生长育肥猪营养结构平衡模式和典型饲料配方与产品。</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2.2</w:t>
      </w:r>
      <w:r>
        <w:rPr>
          <w:color w:val="000000" w:themeColor="text1"/>
          <w:szCs w:val="32"/>
        </w:rPr>
        <w:t>考核指标。</w:t>
      </w:r>
    </w:p>
    <w:p w:rsidR="001601DB" w:rsidRDefault="003F1325">
      <w:pPr>
        <w:widowControl w:val="0"/>
        <w:spacing w:line="560" w:lineRule="exact"/>
        <w:ind w:firstLineChars="200" w:firstLine="640"/>
        <w:jc w:val="both"/>
        <w:rPr>
          <w:color w:val="000000" w:themeColor="text1"/>
          <w:szCs w:val="32"/>
        </w:rPr>
      </w:pPr>
      <w:r>
        <w:rPr>
          <w:color w:val="000000" w:themeColor="text1"/>
        </w:rPr>
        <w:t>创制非粮型生物饲料原料产品</w:t>
      </w:r>
      <w:r>
        <w:rPr>
          <w:color w:val="000000" w:themeColor="text1"/>
        </w:rPr>
        <w:t>2</w:t>
      </w:r>
      <w:r>
        <w:rPr>
          <w:rFonts w:hint="eastAsia"/>
          <w:color w:val="000000" w:themeColor="text1"/>
        </w:rPr>
        <w:t>—</w:t>
      </w:r>
      <w:r>
        <w:rPr>
          <w:color w:val="000000" w:themeColor="text1"/>
        </w:rPr>
        <w:t>3</w:t>
      </w:r>
      <w:r>
        <w:rPr>
          <w:color w:val="000000" w:themeColor="text1"/>
        </w:rPr>
        <w:t>个，安全无抗饲料添加剂（预混料）产品</w:t>
      </w:r>
      <w:r>
        <w:rPr>
          <w:color w:val="000000" w:themeColor="text1"/>
        </w:rPr>
        <w:t>2</w:t>
      </w:r>
      <w:r>
        <w:rPr>
          <w:rFonts w:hint="eastAsia"/>
          <w:color w:val="000000" w:themeColor="text1"/>
        </w:rPr>
        <w:t>—</w:t>
      </w:r>
      <w:r>
        <w:rPr>
          <w:color w:val="000000" w:themeColor="text1"/>
        </w:rPr>
        <w:t>3</w:t>
      </w:r>
      <w:r>
        <w:rPr>
          <w:color w:val="000000" w:themeColor="text1"/>
        </w:rPr>
        <w:t>个；建立饲料原料营养价值和生猪营养需要新参数</w:t>
      </w:r>
      <w:r>
        <w:rPr>
          <w:color w:val="000000" w:themeColor="text1"/>
        </w:rPr>
        <w:t>80</w:t>
      </w:r>
      <w:r>
        <w:rPr>
          <w:color w:val="000000" w:themeColor="text1"/>
        </w:rPr>
        <w:t>个；研制节粮型全价饲料配方和产品</w:t>
      </w:r>
      <w:r>
        <w:rPr>
          <w:color w:val="000000" w:themeColor="text1"/>
        </w:rPr>
        <w:t>3</w:t>
      </w:r>
      <w:r>
        <w:rPr>
          <w:rFonts w:hint="eastAsia"/>
          <w:color w:val="000000" w:themeColor="text1"/>
        </w:rPr>
        <w:t>—</w:t>
      </w:r>
      <w:r>
        <w:rPr>
          <w:color w:val="000000" w:themeColor="text1"/>
        </w:rPr>
        <w:t>5</w:t>
      </w:r>
      <w:r>
        <w:rPr>
          <w:color w:val="000000" w:themeColor="text1"/>
        </w:rPr>
        <w:t>个，玉米、小麦、大豆的配方用量降低</w:t>
      </w:r>
      <w:r>
        <w:rPr>
          <w:color w:val="000000" w:themeColor="text1"/>
        </w:rPr>
        <w:t>30%</w:t>
      </w:r>
      <w:r>
        <w:rPr>
          <w:color w:val="000000" w:themeColor="text1"/>
        </w:rPr>
        <w:t>以上；示范推广生物饲料原料及生物全价料</w:t>
      </w:r>
      <w:r>
        <w:rPr>
          <w:color w:val="000000" w:themeColor="text1"/>
        </w:rPr>
        <w:t>150</w:t>
      </w:r>
      <w:r>
        <w:rPr>
          <w:color w:val="000000" w:themeColor="text1"/>
        </w:rPr>
        <w:t>万吨</w:t>
      </w:r>
      <w:r>
        <w:rPr>
          <w:color w:val="000000" w:themeColor="text1"/>
        </w:rPr>
        <w:t>/</w:t>
      </w:r>
      <w:r>
        <w:rPr>
          <w:color w:val="000000" w:themeColor="text1"/>
        </w:rPr>
        <w:t>年，市场占有率达我省猪饲料年产量</w:t>
      </w:r>
      <w:r>
        <w:rPr>
          <w:color w:val="000000" w:themeColor="text1"/>
        </w:rPr>
        <w:t>30%</w:t>
      </w:r>
      <w:r>
        <w:rPr>
          <w:color w:val="000000" w:themeColor="text1"/>
        </w:rPr>
        <w:t>；保障我省每年减少玉米大豆调入量</w:t>
      </w:r>
      <w:r>
        <w:rPr>
          <w:color w:val="000000" w:themeColor="text1"/>
        </w:rPr>
        <w:t>200</w:t>
      </w:r>
      <w:r>
        <w:rPr>
          <w:color w:val="000000" w:themeColor="text1"/>
        </w:rPr>
        <w:t>万吨，核心示范场肉猪全程料肉比降低</w:t>
      </w:r>
      <w:r>
        <w:rPr>
          <w:color w:val="000000" w:themeColor="text1"/>
        </w:rPr>
        <w:t>0.3</w:t>
      </w:r>
      <w:r>
        <w:rPr>
          <w:color w:val="000000" w:themeColor="text1"/>
        </w:rPr>
        <w:t>，</w:t>
      </w:r>
      <w:r>
        <w:rPr>
          <w:rFonts w:hint="eastAsia"/>
          <w:color w:val="000000" w:themeColor="text1"/>
        </w:rPr>
        <w:t>120kg</w:t>
      </w:r>
      <w:r>
        <w:rPr>
          <w:rFonts w:hint="eastAsia"/>
          <w:color w:val="000000" w:themeColor="text1"/>
        </w:rPr>
        <w:t>体重日龄</w:t>
      </w:r>
      <w:r>
        <w:rPr>
          <w:rFonts w:hint="eastAsia"/>
          <w:color w:val="000000" w:themeColor="text1"/>
        </w:rPr>
        <w:t>165</w:t>
      </w:r>
      <w:r>
        <w:rPr>
          <w:rFonts w:hint="eastAsia"/>
          <w:color w:val="000000" w:themeColor="text1"/>
        </w:rPr>
        <w:t>天</w:t>
      </w:r>
      <w:r>
        <w:rPr>
          <w:color w:val="000000" w:themeColor="text1"/>
        </w:rPr>
        <w:t>；整体产品与技术水平国际先进。</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2.3</w:t>
      </w:r>
      <w:r>
        <w:rPr>
          <w:color w:val="000000" w:themeColor="text1"/>
          <w:szCs w:val="32"/>
        </w:rPr>
        <w:t>有关说明：拟支持</w:t>
      </w:r>
      <w:r>
        <w:rPr>
          <w:color w:val="000000" w:themeColor="text1"/>
          <w:szCs w:val="32"/>
        </w:rPr>
        <w:t>1</w:t>
      </w:r>
      <w:r>
        <w:rPr>
          <w:color w:val="000000" w:themeColor="text1"/>
          <w:szCs w:val="32"/>
        </w:rPr>
        <w:t>项，支持经费不超过</w:t>
      </w:r>
      <w:r>
        <w:rPr>
          <w:rFonts w:hint="eastAsia"/>
          <w:color w:val="000000" w:themeColor="text1"/>
          <w:szCs w:val="32"/>
        </w:rPr>
        <w:t>25</w:t>
      </w:r>
      <w:r>
        <w:rPr>
          <w:color w:val="000000" w:themeColor="text1"/>
          <w:szCs w:val="32"/>
        </w:rPr>
        <w:t>00</w:t>
      </w:r>
      <w:r>
        <w:rPr>
          <w:color w:val="000000" w:themeColor="text1"/>
          <w:szCs w:val="32"/>
        </w:rPr>
        <w:t>万元。</w:t>
      </w:r>
    </w:p>
    <w:p w:rsidR="001601DB" w:rsidRDefault="003F1325">
      <w:pPr>
        <w:widowControl w:val="0"/>
        <w:tabs>
          <w:tab w:val="left" w:pos="540"/>
        </w:tabs>
        <w:adjustRightInd w:val="0"/>
        <w:snapToGrid w:val="0"/>
        <w:spacing w:line="560" w:lineRule="exact"/>
        <w:ind w:firstLineChars="200" w:firstLine="640"/>
        <w:jc w:val="both"/>
        <w:rPr>
          <w:rFonts w:ascii="楷体_GB2312" w:eastAsia="楷体_GB2312"/>
          <w:color w:val="000000" w:themeColor="text1"/>
          <w:szCs w:val="32"/>
        </w:rPr>
      </w:pPr>
      <w:r>
        <w:rPr>
          <w:rFonts w:ascii="楷体_GB2312" w:eastAsia="楷体_GB2312"/>
          <w:color w:val="000000" w:themeColor="text1"/>
          <w:szCs w:val="32"/>
        </w:rPr>
        <w:t>项目</w:t>
      </w:r>
      <w:r>
        <w:rPr>
          <w:rFonts w:ascii="楷体_GB2312" w:eastAsia="楷体_GB2312"/>
          <w:color w:val="000000" w:themeColor="text1"/>
          <w:szCs w:val="32"/>
        </w:rPr>
        <w:t>3.</w:t>
      </w:r>
      <w:r>
        <w:rPr>
          <w:rFonts w:ascii="楷体_GB2312" w:eastAsia="楷体_GB2312"/>
          <w:color w:val="000000" w:themeColor="text1"/>
          <w:szCs w:val="32"/>
        </w:rPr>
        <w:t>川猪重大疫病防控新技术新产品创制。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lastRenderedPageBreak/>
        <w:t>3.1</w:t>
      </w:r>
      <w:r>
        <w:rPr>
          <w:rFonts w:hint="eastAsia"/>
          <w:color w:val="000000" w:themeColor="text1"/>
          <w:szCs w:val="32"/>
        </w:rPr>
        <w:t>研究内容。本项目下设五个课题</w:t>
      </w:r>
      <w:r>
        <w:rPr>
          <w:color w:val="000000" w:themeColor="text1"/>
          <w:szCs w:val="32"/>
        </w:rPr>
        <w:t>。</w:t>
      </w:r>
    </w:p>
    <w:p w:rsidR="001601DB" w:rsidRDefault="003F1325">
      <w:pPr>
        <w:widowControl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1</w:t>
      </w:r>
      <w:r>
        <w:rPr>
          <w:rFonts w:hint="eastAsia"/>
          <w:color w:val="000000" w:themeColor="text1"/>
          <w:szCs w:val="32"/>
        </w:rPr>
        <w:t>：</w:t>
      </w:r>
      <w:r>
        <w:rPr>
          <w:color w:val="000000" w:themeColor="text1"/>
          <w:szCs w:val="32"/>
        </w:rPr>
        <w:t>重大猪病精准识别剔除与净化技术</w:t>
      </w:r>
      <w:r>
        <w:rPr>
          <w:rFonts w:hint="eastAsia"/>
          <w:color w:val="000000" w:themeColor="text1"/>
          <w:szCs w:val="32"/>
        </w:rPr>
        <w:t>研发</w:t>
      </w:r>
      <w:r>
        <w:rPr>
          <w:color w:val="000000" w:themeColor="text1"/>
          <w:szCs w:val="32"/>
        </w:rPr>
        <w:t>。</w:t>
      </w:r>
    </w:p>
    <w:p w:rsidR="001601DB" w:rsidRDefault="003F1325">
      <w:pPr>
        <w:widowControl w:val="0"/>
        <w:spacing w:line="560" w:lineRule="exact"/>
        <w:ind w:firstLineChars="200" w:firstLine="640"/>
        <w:jc w:val="both"/>
        <w:rPr>
          <w:color w:val="000000" w:themeColor="text1"/>
        </w:rPr>
      </w:pPr>
      <w:r>
        <w:rPr>
          <w:color w:val="000000" w:themeColor="text1"/>
        </w:rPr>
        <w:t>应对猪场高度规模化和集约化所致疫情形势复杂严峻，研究突破非洲猪瘟等重大疫病的早期诊断、鉴别诊断技术瓶颈，创新精准快捷诊断技术；实现对非洲猪瘟感染个体精准剔除，染疫环境的精准恢复；规范操作、订立标准，对猪育种核心群猪瘟、伪狂犬、蓝耳病等重大疫病</w:t>
      </w:r>
      <w:r>
        <w:rPr>
          <w:rFonts w:hint="eastAsia"/>
          <w:color w:val="000000" w:themeColor="text1"/>
        </w:rPr>
        <w:t>进行</w:t>
      </w:r>
      <w:r>
        <w:rPr>
          <w:color w:val="000000" w:themeColor="text1"/>
        </w:rPr>
        <w:t>净化，</w:t>
      </w:r>
      <w:r>
        <w:rPr>
          <w:rFonts w:hint="eastAsia"/>
          <w:color w:val="000000" w:themeColor="text1"/>
        </w:rPr>
        <w:t>开展种猪场疫病净化相关认证</w:t>
      </w:r>
      <w:r>
        <w:rPr>
          <w:color w:val="000000" w:themeColor="text1"/>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2</w:t>
      </w:r>
      <w:r>
        <w:rPr>
          <w:rFonts w:hint="eastAsia"/>
          <w:color w:val="000000" w:themeColor="text1"/>
          <w:szCs w:val="32"/>
        </w:rPr>
        <w:t>：</w:t>
      </w:r>
      <w:r>
        <w:rPr>
          <w:color w:val="000000" w:themeColor="text1"/>
          <w:szCs w:val="32"/>
        </w:rPr>
        <w:t>辅助防控非洲猪瘟等药物创制及猪场生物安全体系</w:t>
      </w:r>
      <w:r>
        <w:rPr>
          <w:rFonts w:hint="eastAsia"/>
          <w:color w:val="000000" w:themeColor="text1"/>
          <w:szCs w:val="32"/>
        </w:rPr>
        <w:t>研发</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针对非洲猪瘟暂没有疫苗和特效药物可用于预防和治疗，结合非洲猪瘟病证特性及发病特点，科学组方及反复临床验效，食药同源抗病，营养调整免疫，研制有效辅助防控非洲猪瘟天然药物产品；形成科学规范应用方案，适用于不同环境及群体的辅助防控技术标准。在此基础上，研究评价生猪养殖场和基地生物安全体系，分析生物安全防控漏点，建立猪场非洲猪瘟综合防控生物安全体系，实现生物安全的量化评价。</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3</w:t>
      </w:r>
      <w:r>
        <w:rPr>
          <w:rFonts w:hint="eastAsia"/>
          <w:color w:val="000000" w:themeColor="text1"/>
          <w:szCs w:val="32"/>
        </w:rPr>
        <w:t>：</w:t>
      </w:r>
      <w:r>
        <w:rPr>
          <w:color w:val="000000" w:themeColor="text1"/>
          <w:szCs w:val="32"/>
        </w:rPr>
        <w:t>猪重大疫病病原解析溯源及特色疫苗创制。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明析严重制约川猪生产的蓝耳病、伪狂犬等重大疫病病原，定标代表菌（毒）株，解析重要基因功能，建立</w:t>
      </w:r>
      <w:r>
        <w:rPr>
          <w:color w:val="000000" w:themeColor="text1"/>
        </w:rPr>
        <w:t>病原资源库，发掘利用建疫苗研制种毒库。研发针对四川蓝耳病、伪狂犬等疫病的特色疫苗，实现精准免疫。</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lastRenderedPageBreak/>
        <w:t>课题</w:t>
      </w:r>
      <w:r>
        <w:rPr>
          <w:rFonts w:hint="eastAsia"/>
          <w:color w:val="000000" w:themeColor="text1"/>
          <w:szCs w:val="32"/>
        </w:rPr>
        <w:t>4</w:t>
      </w:r>
      <w:r>
        <w:rPr>
          <w:rFonts w:hint="eastAsia"/>
          <w:color w:val="000000" w:themeColor="text1"/>
          <w:szCs w:val="32"/>
        </w:rPr>
        <w:t>：</w:t>
      </w:r>
      <w:r>
        <w:rPr>
          <w:color w:val="000000" w:themeColor="text1"/>
          <w:szCs w:val="32"/>
        </w:rPr>
        <w:t>减抗禁抗背景下猪细菌病的溯源及新产品创制。</w:t>
      </w:r>
    </w:p>
    <w:p w:rsidR="001601DB" w:rsidRDefault="003F1325">
      <w:pPr>
        <w:widowControl w:val="0"/>
        <w:tabs>
          <w:tab w:val="left" w:pos="540"/>
        </w:tabs>
        <w:adjustRightInd w:val="0"/>
        <w:snapToGrid w:val="0"/>
        <w:spacing w:line="560" w:lineRule="exact"/>
        <w:ind w:firstLineChars="200" w:firstLine="640"/>
        <w:jc w:val="both"/>
        <w:rPr>
          <w:color w:val="000000" w:themeColor="text1"/>
        </w:rPr>
      </w:pPr>
      <w:r>
        <w:rPr>
          <w:color w:val="000000" w:themeColor="text1"/>
        </w:rPr>
        <w:t>基于多组学，开展猪产业链中重要人畜共患细菌病监测和溯源，揭示猪重要病原菌变化及传播规律，为切断猪细菌病传播途径提供科学依据。创制猪沙门菌、弯曲菌快速检测方法，实现猪细菌病的快速诊断；创制猪用中药颗粒剂和分散片等抗生素替代品。</w:t>
      </w:r>
    </w:p>
    <w:p w:rsidR="001601DB" w:rsidRDefault="003F1325">
      <w:pPr>
        <w:widowControl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5</w:t>
      </w:r>
      <w:r>
        <w:rPr>
          <w:rFonts w:hint="eastAsia"/>
          <w:color w:val="000000" w:themeColor="text1"/>
          <w:szCs w:val="32"/>
        </w:rPr>
        <w:t>：</w:t>
      </w:r>
      <w:r>
        <w:rPr>
          <w:color w:val="000000" w:themeColor="text1"/>
          <w:szCs w:val="32"/>
        </w:rPr>
        <w:t>猪病治疗用抗生素与人用抗生素交叉耐药</w:t>
      </w:r>
      <w:r>
        <w:rPr>
          <w:rFonts w:hint="eastAsia"/>
          <w:color w:val="000000" w:themeColor="text1"/>
          <w:szCs w:val="32"/>
        </w:rPr>
        <w:t>研究</w:t>
      </w:r>
      <w:r>
        <w:rPr>
          <w:color w:val="000000" w:themeColor="text1"/>
          <w:szCs w:val="32"/>
        </w:rPr>
        <w:t>。</w:t>
      </w:r>
    </w:p>
    <w:p w:rsidR="001601DB" w:rsidRDefault="003F1325">
      <w:pPr>
        <w:widowControl w:val="0"/>
        <w:spacing w:line="560" w:lineRule="exact"/>
        <w:ind w:firstLineChars="200" w:firstLine="640"/>
        <w:jc w:val="both"/>
        <w:rPr>
          <w:color w:val="000000" w:themeColor="text1"/>
          <w:szCs w:val="32"/>
        </w:rPr>
      </w:pPr>
      <w:r>
        <w:rPr>
          <w:color w:val="000000" w:themeColor="text1"/>
        </w:rPr>
        <w:t>探究猪病治疗用抗生素与人用抗生素交叉耐药形成机制，保障猪肉产品安全和公共卫生健康；基于病原细菌耐药性监测大数据，研究并揭示人医临床最后一道防线药物的耐药基因在猪源人畜共患细菌中的流行、传播扩散机制。在此基础上，制定在减抗、禁抗背景下的猪用药规范，保障产品健康。</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3.2</w:t>
      </w:r>
      <w:r>
        <w:rPr>
          <w:color w:val="000000" w:themeColor="text1"/>
          <w:szCs w:val="32"/>
        </w:rPr>
        <w:t>考核指标。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创制非洲猪瘟精准快捷诊断方法</w:t>
      </w:r>
      <w:r>
        <w:rPr>
          <w:color w:val="000000" w:themeColor="text1"/>
        </w:rPr>
        <w:t>2</w:t>
      </w:r>
      <w:r>
        <w:rPr>
          <w:color w:val="000000" w:themeColor="text1"/>
        </w:rPr>
        <w:t>种；制定重大疫病（猪瘟、蓝耳病、伪狂犬等）净化标准</w:t>
      </w:r>
      <w:r>
        <w:rPr>
          <w:color w:val="000000" w:themeColor="text1"/>
        </w:rPr>
        <w:t>2</w:t>
      </w:r>
      <w:r>
        <w:rPr>
          <w:rFonts w:hint="eastAsia"/>
          <w:color w:val="000000" w:themeColor="text1"/>
        </w:rPr>
        <w:t>—</w:t>
      </w:r>
      <w:r>
        <w:rPr>
          <w:color w:val="000000" w:themeColor="text1"/>
        </w:rPr>
        <w:t>3</w:t>
      </w:r>
      <w:r>
        <w:rPr>
          <w:color w:val="000000" w:themeColor="text1"/>
        </w:rPr>
        <w:t>项；创制非洲猪瘟辅助防控中兽药产品</w:t>
      </w:r>
      <w:r>
        <w:rPr>
          <w:color w:val="000000" w:themeColor="text1"/>
        </w:rPr>
        <w:t>2</w:t>
      </w:r>
      <w:r>
        <w:rPr>
          <w:color w:val="000000" w:themeColor="text1"/>
        </w:rPr>
        <w:t>个；制定非洲猪瘟生物安全防控标准</w:t>
      </w:r>
      <w:r>
        <w:rPr>
          <w:color w:val="000000" w:themeColor="text1"/>
        </w:rPr>
        <w:t>1</w:t>
      </w:r>
      <w:r>
        <w:rPr>
          <w:rFonts w:hint="eastAsia"/>
          <w:color w:val="000000" w:themeColor="text1"/>
        </w:rPr>
        <w:t>—</w:t>
      </w:r>
      <w:r>
        <w:rPr>
          <w:color w:val="000000" w:themeColor="text1"/>
        </w:rPr>
        <w:t>2</w:t>
      </w:r>
      <w:r>
        <w:rPr>
          <w:color w:val="000000" w:themeColor="text1"/>
        </w:rPr>
        <w:t>个；创制猪伪狂犬病变异株灭活疫苗和猪蓝耳病灭活疫苗；制定疫苗效果评价标准（伪狂犬、蓝耳病等）</w:t>
      </w:r>
      <w:r>
        <w:rPr>
          <w:color w:val="000000" w:themeColor="text1"/>
        </w:rPr>
        <w:t>2</w:t>
      </w:r>
      <w:r>
        <w:rPr>
          <w:rFonts w:hint="eastAsia"/>
          <w:color w:val="000000" w:themeColor="text1"/>
        </w:rPr>
        <w:t>—</w:t>
      </w:r>
      <w:r>
        <w:rPr>
          <w:color w:val="000000" w:themeColor="text1"/>
        </w:rPr>
        <w:t>3</w:t>
      </w:r>
      <w:r>
        <w:rPr>
          <w:color w:val="000000" w:themeColor="text1"/>
        </w:rPr>
        <w:t>项；创制猪细菌快速诊断试剂盒</w:t>
      </w:r>
      <w:r>
        <w:rPr>
          <w:color w:val="000000" w:themeColor="text1"/>
        </w:rPr>
        <w:t>2</w:t>
      </w:r>
      <w:r>
        <w:rPr>
          <w:rFonts w:hint="eastAsia"/>
          <w:color w:val="000000" w:themeColor="text1"/>
        </w:rPr>
        <w:t>—</w:t>
      </w:r>
      <w:r>
        <w:rPr>
          <w:color w:val="000000" w:themeColor="text1"/>
        </w:rPr>
        <w:t>3</w:t>
      </w:r>
      <w:r>
        <w:rPr>
          <w:color w:val="000000" w:themeColor="text1"/>
        </w:rPr>
        <w:t>种；开发猪用中药抗生素替代品</w:t>
      </w:r>
      <w:r>
        <w:rPr>
          <w:color w:val="000000" w:themeColor="text1"/>
        </w:rPr>
        <w:t>1</w:t>
      </w:r>
      <w:r>
        <w:rPr>
          <w:color w:val="000000" w:themeColor="text1"/>
        </w:rPr>
        <w:t>种；制定减抗、禁抗背景下的猪用药规范</w:t>
      </w:r>
      <w:r>
        <w:rPr>
          <w:color w:val="000000" w:themeColor="text1"/>
        </w:rPr>
        <w:t>1</w:t>
      </w:r>
      <w:r>
        <w:rPr>
          <w:color w:val="000000" w:themeColor="text1"/>
        </w:rPr>
        <w:t>套。建立非洲猪瘟、猪细菌诊断试剂盒、疫苗等产业化生产基地</w:t>
      </w:r>
      <w:r>
        <w:rPr>
          <w:color w:val="000000" w:themeColor="text1"/>
        </w:rPr>
        <w:t>4</w:t>
      </w:r>
      <w:r>
        <w:rPr>
          <w:rFonts w:hint="eastAsia"/>
          <w:color w:val="000000" w:themeColor="text1"/>
        </w:rPr>
        <w:t>—</w:t>
      </w:r>
      <w:r>
        <w:rPr>
          <w:color w:val="000000" w:themeColor="text1"/>
        </w:rPr>
        <w:t>5</w:t>
      </w:r>
      <w:r>
        <w:rPr>
          <w:color w:val="000000" w:themeColor="text1"/>
        </w:rPr>
        <w:t>个，示范企业推广应用率</w:t>
      </w:r>
      <w:r>
        <w:rPr>
          <w:color w:val="000000" w:themeColor="text1"/>
        </w:rPr>
        <w:t>90%</w:t>
      </w:r>
      <w:r>
        <w:rPr>
          <w:color w:val="000000" w:themeColor="text1"/>
        </w:rPr>
        <w:t>以上，疫苗保护率</w:t>
      </w:r>
      <w:r>
        <w:rPr>
          <w:color w:val="000000" w:themeColor="text1"/>
        </w:rPr>
        <w:t>90%</w:t>
      </w:r>
      <w:r>
        <w:rPr>
          <w:color w:val="000000" w:themeColor="text1"/>
        </w:rPr>
        <w:t>以上，养殖用药降低</w:t>
      </w:r>
      <w:r>
        <w:rPr>
          <w:color w:val="000000" w:themeColor="text1"/>
        </w:rPr>
        <w:t>50%</w:t>
      </w:r>
      <w:r>
        <w:rPr>
          <w:color w:val="000000" w:themeColor="text1"/>
        </w:rPr>
        <w:t>，发病率降低</w:t>
      </w:r>
      <w:r>
        <w:rPr>
          <w:color w:val="000000" w:themeColor="text1"/>
        </w:rPr>
        <w:lastRenderedPageBreak/>
        <w:t>10%</w:t>
      </w:r>
      <w:r>
        <w:rPr>
          <w:color w:val="000000" w:themeColor="text1"/>
        </w:rPr>
        <w:t>以上，实现猪育种核心群猪瘟、伪狂犬、蓝耳病等重大疫病的净化。</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3.3</w:t>
      </w:r>
      <w:r>
        <w:rPr>
          <w:color w:val="000000" w:themeColor="text1"/>
          <w:szCs w:val="32"/>
        </w:rPr>
        <w:t>有关说明：拟支持</w:t>
      </w:r>
      <w:r>
        <w:rPr>
          <w:color w:val="000000" w:themeColor="text1"/>
          <w:szCs w:val="32"/>
        </w:rPr>
        <w:t>1</w:t>
      </w:r>
      <w:r>
        <w:rPr>
          <w:color w:val="000000" w:themeColor="text1"/>
          <w:szCs w:val="32"/>
        </w:rPr>
        <w:t>项，支持经费不超过</w:t>
      </w:r>
      <w:r>
        <w:rPr>
          <w:rFonts w:hint="eastAsia"/>
          <w:color w:val="000000" w:themeColor="text1"/>
          <w:szCs w:val="32"/>
        </w:rPr>
        <w:t>17</w:t>
      </w:r>
      <w:r>
        <w:rPr>
          <w:color w:val="000000" w:themeColor="text1"/>
          <w:szCs w:val="32"/>
        </w:rPr>
        <w:t>00</w:t>
      </w:r>
      <w:r>
        <w:rPr>
          <w:color w:val="000000" w:themeColor="text1"/>
          <w:szCs w:val="32"/>
        </w:rPr>
        <w:t>万元。</w:t>
      </w:r>
    </w:p>
    <w:p w:rsidR="001601DB" w:rsidRDefault="003F1325">
      <w:pPr>
        <w:widowControl w:val="0"/>
        <w:tabs>
          <w:tab w:val="left" w:pos="540"/>
        </w:tabs>
        <w:adjustRightInd w:val="0"/>
        <w:snapToGrid w:val="0"/>
        <w:spacing w:line="560" w:lineRule="exact"/>
        <w:ind w:firstLineChars="200" w:firstLine="640"/>
        <w:jc w:val="both"/>
        <w:rPr>
          <w:rFonts w:ascii="楷体_GB2312" w:eastAsia="楷体_GB2312"/>
          <w:color w:val="000000" w:themeColor="text1"/>
          <w:szCs w:val="32"/>
        </w:rPr>
      </w:pPr>
      <w:r>
        <w:rPr>
          <w:rFonts w:ascii="楷体_GB2312" w:eastAsia="楷体_GB2312"/>
          <w:color w:val="000000" w:themeColor="text1"/>
          <w:szCs w:val="32"/>
        </w:rPr>
        <w:t>项目</w:t>
      </w:r>
      <w:r>
        <w:rPr>
          <w:rFonts w:ascii="楷体_GB2312" w:eastAsia="楷体_GB2312"/>
          <w:color w:val="000000" w:themeColor="text1"/>
          <w:szCs w:val="32"/>
        </w:rPr>
        <w:t>4.</w:t>
      </w:r>
      <w:r>
        <w:rPr>
          <w:rFonts w:ascii="楷体_GB2312" w:eastAsia="楷体_GB2312"/>
          <w:color w:val="000000" w:themeColor="text1"/>
          <w:szCs w:val="32"/>
        </w:rPr>
        <w:t>川猪精细化智能养殖与环境精准控制。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4.1</w:t>
      </w:r>
      <w:r>
        <w:rPr>
          <w:rFonts w:hint="eastAsia"/>
          <w:color w:val="000000" w:themeColor="text1"/>
          <w:szCs w:val="32"/>
        </w:rPr>
        <w:t>研究内容。本项目下设四个课题</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1</w:t>
      </w:r>
      <w:r>
        <w:rPr>
          <w:rFonts w:hint="eastAsia"/>
          <w:color w:val="000000" w:themeColor="text1"/>
          <w:szCs w:val="32"/>
        </w:rPr>
        <w:t>：</w:t>
      </w:r>
      <w:r>
        <w:rPr>
          <w:color w:val="000000" w:themeColor="text1"/>
          <w:szCs w:val="32"/>
        </w:rPr>
        <w:t>川猪生产工艺及关键设备改造和利用。</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以提高生猪规模化养殖生产效率，充分发挥新品种（配套系）遗传潜力，研究提出适合周节律和批次化生产差异化饲养工艺，消化吸收国际先进现代生猪养殖装备关键技术，开展新型设施设备利用升级改造，研发楼房养猪环境控制工艺以及与之配套的饲料输送装备、液态和固态料精准饲喂设备及成套供给系统、猪身份识别电子耳标、生长和健康及环境智能监测设备、精液自动化生产成套设备等设施设备，提升不同规模猪场装备水平及养</w:t>
      </w:r>
      <w:r>
        <w:rPr>
          <w:color w:val="000000" w:themeColor="text1"/>
        </w:rPr>
        <w:t>殖综合生产能力。开展中小农户圈舍改造，研发装配式猪舍，提出小农户标准化养殖技术规程，并进行示范。</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2</w:t>
      </w:r>
      <w:r>
        <w:rPr>
          <w:rFonts w:hint="eastAsia"/>
          <w:color w:val="000000" w:themeColor="text1"/>
          <w:szCs w:val="32"/>
        </w:rPr>
        <w:t>：</w:t>
      </w:r>
      <w:r>
        <w:rPr>
          <w:color w:val="000000" w:themeColor="text1"/>
          <w:szCs w:val="32"/>
        </w:rPr>
        <w:t>川猪精细化饲养管理与新型饲喂技术</w:t>
      </w:r>
      <w:r>
        <w:rPr>
          <w:rFonts w:hint="eastAsia"/>
          <w:color w:val="000000" w:themeColor="text1"/>
          <w:szCs w:val="32"/>
        </w:rPr>
        <w:t>研发</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rPr>
      </w:pPr>
      <w:r>
        <w:rPr>
          <w:color w:val="000000" w:themeColor="text1"/>
        </w:rPr>
        <w:t>针对我省自繁自养、代养和专业合作社等养殖模式，构建全繁殖周期和断奶</w:t>
      </w:r>
      <w:r>
        <w:rPr>
          <w:color w:val="000000" w:themeColor="text1"/>
        </w:rPr>
        <w:t>-</w:t>
      </w:r>
      <w:r>
        <w:rPr>
          <w:color w:val="000000" w:themeColor="text1"/>
        </w:rPr>
        <w:t>育肥生长全周期精细化、多阶段饲养管理模式；结合母猪分娩、仔猪断奶、转群、疫苗注射等生产活动下猪生理性变化，建立分娩管理、断奶保育、转群保健、疫苗增效、料形料态转换等特殊饲养关键技术，确保养殖全程实现精细化高效饲养管理；研发不同规模猪场新型饲喂技术，包括饲料现场调制关</w:t>
      </w:r>
      <w:r>
        <w:rPr>
          <w:color w:val="000000" w:themeColor="text1"/>
        </w:rPr>
        <w:lastRenderedPageBreak/>
        <w:t>键技术如原料发酵预消化、菌酶协同、副产物液态调制等工艺参数，解决传统工业饲料生产工艺与猪生产发育规律及肠道微生物调控需求不匹配问题，充分发挥饲料效能、降低</w:t>
      </w:r>
      <w:r>
        <w:rPr>
          <w:color w:val="000000" w:themeColor="text1"/>
        </w:rPr>
        <w:t>N</w:t>
      </w:r>
      <w:r>
        <w:rPr>
          <w:color w:val="000000" w:themeColor="text1"/>
        </w:rPr>
        <w:t>排放；开展饲养饲喂技术</w:t>
      </w:r>
      <w:r>
        <w:rPr>
          <w:color w:val="000000" w:themeColor="text1"/>
        </w:rPr>
        <w:t>-</w:t>
      </w:r>
      <w:r>
        <w:rPr>
          <w:color w:val="000000" w:themeColor="text1"/>
        </w:rPr>
        <w:t>产品</w:t>
      </w:r>
      <w:r>
        <w:rPr>
          <w:color w:val="000000" w:themeColor="text1"/>
        </w:rPr>
        <w:t>-</w:t>
      </w:r>
      <w:r>
        <w:rPr>
          <w:color w:val="000000" w:themeColor="text1"/>
        </w:rPr>
        <w:t>猪场设备组装集成，形成可应用、可复制、可推广的综合技术方案。</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3</w:t>
      </w:r>
      <w:r>
        <w:rPr>
          <w:rFonts w:hint="eastAsia"/>
          <w:color w:val="000000" w:themeColor="text1"/>
          <w:szCs w:val="32"/>
        </w:rPr>
        <w:t>：</w:t>
      </w:r>
      <w:r>
        <w:rPr>
          <w:color w:val="000000" w:themeColor="text1"/>
          <w:szCs w:val="32"/>
        </w:rPr>
        <w:t>川猪舍内环境精准调控技术。</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聚焦不同规模猪场舍内温湿度、气流分布不均匀等问题，通过计算流体力学技术（</w:t>
      </w:r>
      <w:r>
        <w:rPr>
          <w:color w:val="000000" w:themeColor="text1"/>
        </w:rPr>
        <w:t>CFD</w:t>
      </w:r>
      <w:r>
        <w:rPr>
          <w:color w:val="000000" w:themeColor="text1"/>
        </w:rPr>
        <w:t>）模拟猪舍内主要环境指标（温度、二氧化碳、硫化氢等）分布，并对实际环境参数的时空规律进行验证，提出猪舍内主要环境控制指标体系，在此基础上结合猪舍保温性能及舍内</w:t>
      </w:r>
      <w:r>
        <w:rPr>
          <w:rFonts w:hint="eastAsia"/>
          <w:color w:val="000000" w:themeColor="text1"/>
        </w:rPr>
        <w:t>环境状况开展</w:t>
      </w:r>
      <w:r>
        <w:rPr>
          <w:color w:val="000000" w:themeColor="text1"/>
        </w:rPr>
        <w:t>通风模式系统优化设计，建立基于空气动力学多元环境参数平衡的猪舍精准环境控制系统，提高猪舍内环境控制</w:t>
      </w:r>
      <w:r>
        <w:rPr>
          <w:color w:val="000000" w:themeColor="text1"/>
        </w:rPr>
        <w:t>“</w:t>
      </w:r>
      <w:r>
        <w:rPr>
          <w:color w:val="000000" w:themeColor="text1"/>
        </w:rPr>
        <w:t>精准化</w:t>
      </w:r>
      <w:r>
        <w:rPr>
          <w:color w:val="000000" w:themeColor="text1"/>
        </w:rPr>
        <w:t>”</w:t>
      </w:r>
      <w:r>
        <w:rPr>
          <w:color w:val="000000" w:themeColor="text1"/>
        </w:rPr>
        <w:t>水平。</w:t>
      </w:r>
    </w:p>
    <w:p w:rsidR="001601DB" w:rsidRDefault="003F1325" w:rsidP="003F1325">
      <w:pPr>
        <w:widowControl w:val="0"/>
        <w:tabs>
          <w:tab w:val="left" w:pos="540"/>
        </w:tabs>
        <w:adjustRightInd w:val="0"/>
        <w:snapToGrid w:val="0"/>
        <w:spacing w:line="560" w:lineRule="exact"/>
        <w:ind w:leftChars="200" w:left="640"/>
        <w:jc w:val="both"/>
        <w:rPr>
          <w:color w:val="000000" w:themeColor="text1"/>
          <w:szCs w:val="32"/>
        </w:rPr>
      </w:pPr>
      <w:r>
        <w:rPr>
          <w:rFonts w:hint="eastAsia"/>
          <w:color w:val="000000" w:themeColor="text1"/>
          <w:szCs w:val="32"/>
        </w:rPr>
        <w:t>课题</w:t>
      </w:r>
      <w:r>
        <w:rPr>
          <w:rFonts w:hint="eastAsia"/>
          <w:color w:val="000000" w:themeColor="text1"/>
          <w:szCs w:val="32"/>
        </w:rPr>
        <w:t>4</w:t>
      </w:r>
      <w:r>
        <w:rPr>
          <w:rFonts w:hint="eastAsia"/>
          <w:color w:val="000000" w:themeColor="text1"/>
          <w:szCs w:val="32"/>
        </w:rPr>
        <w:t>：</w:t>
      </w:r>
      <w:r>
        <w:rPr>
          <w:color w:val="000000" w:themeColor="text1"/>
          <w:szCs w:val="32"/>
        </w:rPr>
        <w:t>基于数字化关键技术的川猪智能化养殖平台。</w:t>
      </w:r>
    </w:p>
    <w:p w:rsidR="001601DB" w:rsidRDefault="003F1325">
      <w:pPr>
        <w:widowControl w:val="0"/>
        <w:adjustRightInd w:val="0"/>
        <w:snapToGrid w:val="0"/>
        <w:spacing w:line="560" w:lineRule="exact"/>
        <w:ind w:firstLineChars="200" w:firstLine="640"/>
        <w:jc w:val="both"/>
        <w:rPr>
          <w:color w:val="000000" w:themeColor="text1"/>
          <w:szCs w:val="32"/>
        </w:rPr>
      </w:pPr>
      <w:r>
        <w:rPr>
          <w:color w:val="000000" w:themeColor="text1"/>
        </w:rPr>
        <w:t>聚焦现代信息技术、人工智能和大数据应用，促进生猪养殖数字化转型。研发基于视频图像和射频识别技术（</w:t>
      </w:r>
      <w:r>
        <w:rPr>
          <w:color w:val="000000" w:themeColor="text1"/>
        </w:rPr>
        <w:t>RFID</w:t>
      </w:r>
      <w:r>
        <w:rPr>
          <w:color w:val="000000" w:themeColor="text1"/>
        </w:rPr>
        <w:t>）的精准猪只个体识别、行为跟踪和体温自动检测系统，在线监测采食时间、饮水次数、体温等指标，实现生猪养殖全过程的数字化与可视化；研发基于计算视觉的生猪体重测量，预测猪只体重和增重情况；研发基于多模态学习的生猪健康状态判定方法，实时监测预警个体健康；研发匹配全周期精细化饲养与饲喂的自动化、智能化技术及饲养效果反馈系统；在此基础上开发生猪智慧养殖</w:t>
      </w:r>
      <w:r>
        <w:rPr>
          <w:color w:val="000000" w:themeColor="text1"/>
        </w:rPr>
        <w:lastRenderedPageBreak/>
        <w:t>大数据平台，收集、分析数据，实现生产绩效和指标</w:t>
      </w:r>
      <w:r>
        <w:rPr>
          <w:rFonts w:hint="eastAsia"/>
          <w:color w:val="000000" w:themeColor="text1"/>
        </w:rPr>
        <w:t>等数据的智能</w:t>
      </w:r>
      <w:r>
        <w:rPr>
          <w:color w:val="000000" w:themeColor="text1"/>
        </w:rPr>
        <w:t>预测，形</w:t>
      </w:r>
      <w:r>
        <w:rPr>
          <w:color w:val="000000" w:themeColor="text1"/>
        </w:rPr>
        <w:t>成自动化、智能化养殖技术平台。</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4.2</w:t>
      </w:r>
      <w:r>
        <w:rPr>
          <w:color w:val="000000" w:themeColor="text1"/>
          <w:szCs w:val="32"/>
        </w:rPr>
        <w:t>考核指标。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构建不同养殖规模生产及饲养饲喂工艺</w:t>
      </w:r>
      <w:r>
        <w:rPr>
          <w:color w:val="000000" w:themeColor="text1"/>
        </w:rPr>
        <w:t>5</w:t>
      </w:r>
      <w:r>
        <w:rPr>
          <w:color w:val="000000" w:themeColor="text1"/>
        </w:rPr>
        <w:t>套以上，研发环境参数（空气质量、温湿度、光照）检测传感器</w:t>
      </w:r>
      <w:r>
        <w:rPr>
          <w:color w:val="000000" w:themeColor="text1"/>
        </w:rPr>
        <w:t>3</w:t>
      </w:r>
      <w:r>
        <w:rPr>
          <w:color w:val="000000" w:themeColor="text1"/>
        </w:rPr>
        <w:t>套；开发国产化精液自动生产装备</w:t>
      </w:r>
      <w:r>
        <w:rPr>
          <w:color w:val="000000" w:themeColor="text1"/>
        </w:rPr>
        <w:t>1</w:t>
      </w:r>
      <w:r>
        <w:rPr>
          <w:color w:val="000000" w:themeColor="text1"/>
        </w:rPr>
        <w:t>套，饲料调制及液态饲喂成套设备</w:t>
      </w:r>
      <w:r>
        <w:rPr>
          <w:color w:val="000000" w:themeColor="text1"/>
        </w:rPr>
        <w:t>1</w:t>
      </w:r>
      <w:r>
        <w:rPr>
          <w:color w:val="000000" w:themeColor="text1"/>
        </w:rPr>
        <w:t>套；形成川猪高效健康生产工艺标准</w:t>
      </w:r>
      <w:r>
        <w:rPr>
          <w:color w:val="000000" w:themeColor="text1"/>
        </w:rPr>
        <w:t>2</w:t>
      </w:r>
      <w:r>
        <w:rPr>
          <w:color w:val="000000" w:themeColor="text1"/>
        </w:rPr>
        <w:t>个；构建规模猪场饲料原料调制关键参数</w:t>
      </w:r>
      <w:r>
        <w:rPr>
          <w:color w:val="000000" w:themeColor="text1"/>
        </w:rPr>
        <w:t>5</w:t>
      </w:r>
      <w:r>
        <w:rPr>
          <w:rFonts w:hint="eastAsia"/>
          <w:color w:val="000000" w:themeColor="text1"/>
        </w:rPr>
        <w:t>—</w:t>
      </w:r>
      <w:r>
        <w:rPr>
          <w:color w:val="000000" w:themeColor="text1"/>
        </w:rPr>
        <w:t>8</w:t>
      </w:r>
      <w:r>
        <w:rPr>
          <w:color w:val="000000" w:themeColor="text1"/>
        </w:rPr>
        <w:t>个；地方型副产物利用在饲料配方用量</w:t>
      </w:r>
      <w:r>
        <w:rPr>
          <w:color w:val="000000" w:themeColor="text1"/>
        </w:rPr>
        <w:t>10%</w:t>
      </w:r>
      <w:r>
        <w:rPr>
          <w:color w:val="000000" w:themeColor="text1"/>
        </w:rPr>
        <w:t>以上，饲料效率提高</w:t>
      </w:r>
      <w:r>
        <w:rPr>
          <w:color w:val="000000" w:themeColor="text1"/>
        </w:rPr>
        <w:t>5%</w:t>
      </w:r>
      <w:r>
        <w:rPr>
          <w:color w:val="000000" w:themeColor="text1"/>
        </w:rPr>
        <w:t>；研发楼房养猪等不同养殖模式下猪舍精准环境控制</w:t>
      </w:r>
      <w:r>
        <w:rPr>
          <w:rFonts w:hint="eastAsia"/>
          <w:color w:val="000000" w:themeColor="text1"/>
        </w:rPr>
        <w:t>指标</w:t>
      </w:r>
      <w:r>
        <w:rPr>
          <w:color w:val="000000" w:themeColor="text1"/>
        </w:rPr>
        <w:t>系统</w:t>
      </w:r>
      <w:r>
        <w:rPr>
          <w:color w:val="000000" w:themeColor="text1"/>
        </w:rPr>
        <w:t>1</w:t>
      </w:r>
      <w:r>
        <w:rPr>
          <w:color w:val="000000" w:themeColor="text1"/>
        </w:rPr>
        <w:t>套，形成中小农户标准化装备技术规程</w:t>
      </w:r>
      <w:r>
        <w:rPr>
          <w:color w:val="000000" w:themeColor="text1"/>
        </w:rPr>
        <w:t>1</w:t>
      </w:r>
      <w:r>
        <w:rPr>
          <w:color w:val="000000" w:themeColor="text1"/>
        </w:rPr>
        <w:t>套；研制生猪身份识别耳标及技术</w:t>
      </w:r>
      <w:r>
        <w:rPr>
          <w:color w:val="000000" w:themeColor="text1"/>
        </w:rPr>
        <w:t>1</w:t>
      </w:r>
      <w:r>
        <w:rPr>
          <w:color w:val="000000" w:themeColor="text1"/>
        </w:rPr>
        <w:t>套，生猪生长及健康智能化监测体系</w:t>
      </w:r>
      <w:r>
        <w:rPr>
          <w:color w:val="000000" w:themeColor="text1"/>
        </w:rPr>
        <w:t>2</w:t>
      </w:r>
      <w:r>
        <w:rPr>
          <w:color w:val="000000" w:themeColor="text1"/>
        </w:rPr>
        <w:t>套，生长</w:t>
      </w:r>
      <w:r>
        <w:rPr>
          <w:color w:val="000000" w:themeColor="text1"/>
        </w:rPr>
        <w:t>和健康状态判定准确率达</w:t>
      </w:r>
      <w:r>
        <w:rPr>
          <w:color w:val="000000" w:themeColor="text1"/>
        </w:rPr>
        <w:t>95%</w:t>
      </w:r>
      <w:r>
        <w:rPr>
          <w:color w:val="000000" w:themeColor="text1"/>
        </w:rPr>
        <w:t>以上，智能化高效健康养殖物联网平台</w:t>
      </w:r>
      <w:r>
        <w:rPr>
          <w:color w:val="000000" w:themeColor="text1"/>
        </w:rPr>
        <w:t>1</w:t>
      </w:r>
      <w:r>
        <w:rPr>
          <w:color w:val="000000" w:themeColor="text1"/>
        </w:rPr>
        <w:t>个；形成川猪精细化智能养殖与环境精准控制技术标准</w:t>
      </w:r>
      <w:r>
        <w:rPr>
          <w:color w:val="000000" w:themeColor="text1"/>
        </w:rPr>
        <w:t>3</w:t>
      </w:r>
      <w:r>
        <w:rPr>
          <w:rFonts w:hint="eastAsia"/>
          <w:color w:val="000000" w:themeColor="text1"/>
        </w:rPr>
        <w:t>—</w:t>
      </w:r>
      <w:r>
        <w:rPr>
          <w:color w:val="000000" w:themeColor="text1"/>
        </w:rPr>
        <w:t>4</w:t>
      </w:r>
      <w:r>
        <w:rPr>
          <w:color w:val="000000" w:themeColor="text1"/>
        </w:rPr>
        <w:t>个；建立示范基地</w:t>
      </w:r>
      <w:r>
        <w:rPr>
          <w:color w:val="000000" w:themeColor="text1"/>
        </w:rPr>
        <w:t>3</w:t>
      </w:r>
      <w:r>
        <w:rPr>
          <w:rFonts w:hint="eastAsia"/>
          <w:color w:val="000000" w:themeColor="text1"/>
        </w:rPr>
        <w:t>—</w:t>
      </w:r>
      <w:r>
        <w:rPr>
          <w:color w:val="000000" w:themeColor="text1"/>
        </w:rPr>
        <w:t>5</w:t>
      </w:r>
      <w:r>
        <w:rPr>
          <w:color w:val="000000" w:themeColor="text1"/>
        </w:rPr>
        <w:t>个，示范规模</w:t>
      </w:r>
      <w:r>
        <w:rPr>
          <w:color w:val="000000" w:themeColor="text1"/>
        </w:rPr>
        <w:t>500</w:t>
      </w:r>
      <w:r>
        <w:rPr>
          <w:color w:val="000000" w:themeColor="text1"/>
        </w:rPr>
        <w:t>万头以上，技术应用覆盖核心示范场</w:t>
      </w:r>
      <w:r>
        <w:rPr>
          <w:color w:val="000000" w:themeColor="text1"/>
        </w:rPr>
        <w:t>80%</w:t>
      </w:r>
      <w:r>
        <w:rPr>
          <w:color w:val="000000" w:themeColor="text1"/>
        </w:rPr>
        <w:t>以上。</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4.3</w:t>
      </w:r>
      <w:r>
        <w:rPr>
          <w:color w:val="000000" w:themeColor="text1"/>
          <w:szCs w:val="32"/>
        </w:rPr>
        <w:t>有关说明：拟支持</w:t>
      </w:r>
      <w:r>
        <w:rPr>
          <w:color w:val="000000" w:themeColor="text1"/>
          <w:szCs w:val="32"/>
        </w:rPr>
        <w:t>1</w:t>
      </w:r>
      <w:r>
        <w:rPr>
          <w:color w:val="000000" w:themeColor="text1"/>
          <w:szCs w:val="32"/>
        </w:rPr>
        <w:t>项，支持经费不超过</w:t>
      </w:r>
      <w:r>
        <w:rPr>
          <w:rFonts w:hint="eastAsia"/>
          <w:color w:val="000000" w:themeColor="text1"/>
          <w:szCs w:val="32"/>
        </w:rPr>
        <w:t>16</w:t>
      </w:r>
      <w:r>
        <w:rPr>
          <w:color w:val="000000" w:themeColor="text1"/>
          <w:szCs w:val="32"/>
        </w:rPr>
        <w:t>00</w:t>
      </w:r>
      <w:r>
        <w:rPr>
          <w:color w:val="000000" w:themeColor="text1"/>
          <w:szCs w:val="32"/>
        </w:rPr>
        <w:t>万元。</w:t>
      </w:r>
    </w:p>
    <w:p w:rsidR="001601DB" w:rsidRDefault="003F1325">
      <w:pPr>
        <w:widowControl w:val="0"/>
        <w:tabs>
          <w:tab w:val="left" w:pos="540"/>
        </w:tabs>
        <w:adjustRightInd w:val="0"/>
        <w:snapToGrid w:val="0"/>
        <w:spacing w:line="560" w:lineRule="exact"/>
        <w:ind w:firstLineChars="200" w:firstLine="640"/>
        <w:jc w:val="both"/>
        <w:rPr>
          <w:rFonts w:ascii="楷体_GB2312" w:eastAsia="楷体_GB2312"/>
          <w:color w:val="000000" w:themeColor="text1"/>
          <w:szCs w:val="32"/>
        </w:rPr>
      </w:pPr>
      <w:r>
        <w:rPr>
          <w:rFonts w:ascii="楷体_GB2312" w:eastAsia="楷体_GB2312"/>
          <w:color w:val="000000" w:themeColor="text1"/>
          <w:szCs w:val="32"/>
        </w:rPr>
        <w:t>项目</w:t>
      </w:r>
      <w:r>
        <w:rPr>
          <w:rFonts w:ascii="楷体_GB2312" w:eastAsia="楷体_GB2312"/>
          <w:color w:val="000000" w:themeColor="text1"/>
          <w:szCs w:val="32"/>
        </w:rPr>
        <w:t>5.</w:t>
      </w:r>
      <w:r>
        <w:rPr>
          <w:rFonts w:ascii="楷体_GB2312" w:eastAsia="楷体_GB2312"/>
          <w:color w:val="000000" w:themeColor="text1"/>
          <w:szCs w:val="32"/>
        </w:rPr>
        <w:t>川猪养殖污染控制与废弃物资源化利用。</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5.1</w:t>
      </w:r>
      <w:r>
        <w:rPr>
          <w:rFonts w:hint="eastAsia"/>
          <w:color w:val="000000" w:themeColor="text1"/>
          <w:szCs w:val="32"/>
        </w:rPr>
        <w:t>研究内容。本项目下设四个课题</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1</w:t>
      </w:r>
      <w:r>
        <w:rPr>
          <w:rFonts w:hint="eastAsia"/>
          <w:color w:val="000000" w:themeColor="text1"/>
          <w:szCs w:val="32"/>
        </w:rPr>
        <w:t>：</w:t>
      </w:r>
      <w:r>
        <w:rPr>
          <w:color w:val="000000" w:themeColor="text1"/>
          <w:szCs w:val="32"/>
        </w:rPr>
        <w:t>新型高效规模猪场除臭菌剂</w:t>
      </w:r>
      <w:r>
        <w:rPr>
          <w:rFonts w:hint="eastAsia"/>
          <w:color w:val="000000" w:themeColor="text1"/>
          <w:szCs w:val="32"/>
        </w:rPr>
        <w:t>研发</w:t>
      </w:r>
      <w:r>
        <w:rPr>
          <w:color w:val="000000" w:themeColor="text1"/>
          <w:szCs w:val="32"/>
        </w:rPr>
        <w:t>与技术</w:t>
      </w:r>
      <w:r>
        <w:rPr>
          <w:rFonts w:hint="eastAsia"/>
          <w:color w:val="000000" w:themeColor="text1"/>
          <w:szCs w:val="32"/>
        </w:rPr>
        <w:t>集成应用</w:t>
      </w:r>
      <w:r>
        <w:rPr>
          <w:color w:val="000000" w:themeColor="text1"/>
          <w:szCs w:val="32"/>
        </w:rPr>
        <w:t>。</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rPr>
        <w:t>针对规模猪场臭味影响大、现有除臭技术效果差、费用高等问题</w:t>
      </w:r>
      <w:r>
        <w:rPr>
          <w:rFonts w:hint="eastAsia"/>
          <w:color w:val="000000" w:themeColor="text1"/>
        </w:rPr>
        <w:t>，</w:t>
      </w:r>
      <w:r>
        <w:rPr>
          <w:color w:val="000000" w:themeColor="text1"/>
        </w:rPr>
        <w:t>研制生猪体内臭味物质减排制剂和体外除臭复合菌剂，研发菌剂制备工艺，优化制备原料，降低菌剂费用；研究菌剂喷洒、</w:t>
      </w:r>
      <w:r>
        <w:rPr>
          <w:color w:val="000000" w:themeColor="text1"/>
        </w:rPr>
        <w:lastRenderedPageBreak/>
        <w:t>投加方式与设备，降低劳动强度。针对不同猪场恶臭排放特点，集成物理、化学、生化工程除臭技术与设备，研究异位除臭关键工艺参数及技术适应性，形成经济高效的猪场除臭成套工艺设备，满足较高标准的除臭要求。</w:t>
      </w:r>
    </w:p>
    <w:p w:rsidR="001601DB" w:rsidRDefault="003F1325">
      <w:pPr>
        <w:widowControl w:val="0"/>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2</w:t>
      </w:r>
      <w:r>
        <w:rPr>
          <w:rFonts w:hint="eastAsia"/>
          <w:color w:val="000000" w:themeColor="text1"/>
          <w:szCs w:val="32"/>
        </w:rPr>
        <w:t>：</w:t>
      </w:r>
      <w:r>
        <w:rPr>
          <w:rFonts w:hint="eastAsia"/>
          <w:color w:val="000000" w:themeColor="text1"/>
          <w:szCs w:val="32"/>
        </w:rPr>
        <w:t>固态废弃物无害化处理与</w:t>
      </w:r>
      <w:r>
        <w:rPr>
          <w:color w:val="000000" w:themeColor="text1"/>
          <w:szCs w:val="32"/>
        </w:rPr>
        <w:t>高值化</w:t>
      </w:r>
      <w:r>
        <w:rPr>
          <w:rFonts w:hint="eastAsia"/>
          <w:color w:val="000000" w:themeColor="text1"/>
          <w:szCs w:val="32"/>
        </w:rPr>
        <w:t>利用</w:t>
      </w:r>
      <w:r>
        <w:rPr>
          <w:color w:val="000000" w:themeColor="text1"/>
          <w:szCs w:val="32"/>
        </w:rPr>
        <w:t>。</w:t>
      </w:r>
    </w:p>
    <w:p w:rsidR="001601DB" w:rsidRDefault="003F1325">
      <w:pPr>
        <w:widowControl w:val="0"/>
        <w:adjustRightInd w:val="0"/>
        <w:snapToGrid w:val="0"/>
        <w:spacing w:line="560" w:lineRule="exact"/>
        <w:ind w:firstLineChars="200" w:firstLine="640"/>
        <w:jc w:val="both"/>
        <w:rPr>
          <w:color w:val="000000" w:themeColor="text1"/>
          <w:szCs w:val="32"/>
        </w:rPr>
      </w:pPr>
      <w:r>
        <w:rPr>
          <w:color w:val="000000" w:themeColor="text1"/>
        </w:rPr>
        <w:t>针对猪粪原料堆肥产品质量差、肥效低、有害物质难控制、经济价值不高等问题，研究猪粪减排保氮堆肥发酵新技术，降低养分排放，提高肥料腐熟度和有机肥氮磷钾养分含量；研究抗生素、重金属和病原菌等有害物质控制技术，提高堆肥品质；研究堆肥过程温室气体排放规律与调控技术，</w:t>
      </w:r>
      <w:r>
        <w:rPr>
          <w:rFonts w:hint="eastAsia"/>
          <w:color w:val="000000" w:themeColor="text1"/>
        </w:rPr>
        <w:t>助推无害化处理，</w:t>
      </w:r>
      <w:r>
        <w:rPr>
          <w:color w:val="000000" w:themeColor="text1"/>
        </w:rPr>
        <w:t>减少堆肥过程温室气体排放；结合茶叶、水果等主要经济作物的养分需要，有针对性地开发高值化专用有机无机复混肥，提高猪粪肥料化利用产品的经济价值。</w:t>
      </w:r>
      <w:r>
        <w:rPr>
          <w:rFonts w:hint="eastAsia"/>
          <w:color w:val="000000" w:themeColor="text1"/>
        </w:rPr>
        <w:t>开展</w:t>
      </w:r>
      <w:r>
        <w:rPr>
          <w:color w:val="000000" w:themeColor="text1"/>
        </w:rPr>
        <w:t>病死猪无害化处理技术研发</w:t>
      </w:r>
      <w:r>
        <w:rPr>
          <w:rFonts w:hint="eastAsia"/>
          <w:color w:val="000000" w:themeColor="text1"/>
        </w:rPr>
        <w:t>和应用</w:t>
      </w:r>
      <w:r>
        <w:rPr>
          <w:color w:val="000000" w:themeColor="text1"/>
        </w:rPr>
        <w:t>。</w:t>
      </w:r>
    </w:p>
    <w:p w:rsidR="001601DB" w:rsidRDefault="003F1325">
      <w:pPr>
        <w:widowControl w:val="0"/>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3</w:t>
      </w:r>
      <w:r>
        <w:rPr>
          <w:rFonts w:hint="eastAsia"/>
          <w:color w:val="000000" w:themeColor="text1"/>
          <w:szCs w:val="32"/>
        </w:rPr>
        <w:t>：</w:t>
      </w:r>
      <w:r>
        <w:rPr>
          <w:color w:val="000000" w:themeColor="text1"/>
          <w:szCs w:val="32"/>
        </w:rPr>
        <w:t>经济适用的猪场粪水资源化利用。</w:t>
      </w:r>
    </w:p>
    <w:p w:rsidR="001601DB" w:rsidRDefault="003F1325">
      <w:pPr>
        <w:widowControl w:val="0"/>
        <w:adjustRightInd w:val="0"/>
        <w:snapToGrid w:val="0"/>
        <w:spacing w:line="560" w:lineRule="exact"/>
        <w:ind w:firstLineChars="200" w:firstLine="640"/>
        <w:jc w:val="both"/>
        <w:rPr>
          <w:color w:val="000000" w:themeColor="text1"/>
        </w:rPr>
      </w:pPr>
      <w:r>
        <w:rPr>
          <w:color w:val="000000" w:themeColor="text1"/>
        </w:rPr>
        <w:t>针对粪水</w:t>
      </w:r>
      <w:r>
        <w:rPr>
          <w:color w:val="000000" w:themeColor="text1"/>
        </w:rPr>
        <w:t>/</w:t>
      </w:r>
      <w:r>
        <w:rPr>
          <w:color w:val="000000" w:themeColor="text1"/>
        </w:rPr>
        <w:t>沼液养分含量变化大的问题，开发粪水</w:t>
      </w:r>
      <w:r>
        <w:rPr>
          <w:color w:val="000000" w:themeColor="text1"/>
        </w:rPr>
        <w:t>/</w:t>
      </w:r>
      <w:r>
        <w:rPr>
          <w:color w:val="000000" w:themeColor="text1"/>
        </w:rPr>
        <w:t>沼液养分实时快速检测方法与设备，为粪水</w:t>
      </w:r>
      <w:r>
        <w:rPr>
          <w:color w:val="000000" w:themeColor="text1"/>
        </w:rPr>
        <w:t>/</w:t>
      </w:r>
      <w:r>
        <w:rPr>
          <w:color w:val="000000" w:themeColor="text1"/>
        </w:rPr>
        <w:t>沼液快速利用提供施用依据。针对不同作物养分需求和土壤肥力，研究粪水、沼液养分平衡技术与施用方法；研发经济型粪水</w:t>
      </w:r>
      <w:r>
        <w:rPr>
          <w:color w:val="000000" w:themeColor="text1"/>
        </w:rPr>
        <w:t>/</w:t>
      </w:r>
      <w:r>
        <w:rPr>
          <w:color w:val="000000" w:themeColor="text1"/>
        </w:rPr>
        <w:t>沼液施用设备，提高粪水、沼液还田利用效率。筛选养分需求大的水生经济作物，研究以沼液为原料培养基质与栽培技术，提高沼液利用价值。针对不同规模猪场粪污处理缺乏经济适用技术模式问题，分析、评估现有处理</w:t>
      </w:r>
      <w:r>
        <w:rPr>
          <w:color w:val="000000" w:themeColor="text1"/>
        </w:rPr>
        <w:lastRenderedPageBreak/>
        <w:t>利用技术的无害化、资源化效果以及经济适用性，集成国内外经济适用的猪场粪污处理方法以及研发的新技术和新装备，形成适合不同规</w:t>
      </w:r>
      <w:r>
        <w:rPr>
          <w:color w:val="000000" w:themeColor="text1"/>
        </w:rPr>
        <w:t>模猪场的猪粪处理利用工艺、模式和成套设备解决方案。</w:t>
      </w:r>
    </w:p>
    <w:p w:rsidR="001601DB" w:rsidRDefault="003F1325">
      <w:pPr>
        <w:widowControl w:val="0"/>
        <w:adjustRightInd w:val="0"/>
        <w:snapToGrid w:val="0"/>
        <w:spacing w:line="560" w:lineRule="exact"/>
        <w:ind w:firstLineChars="200" w:firstLine="640"/>
        <w:jc w:val="both"/>
        <w:rPr>
          <w:color w:val="000000" w:themeColor="text1"/>
          <w:szCs w:val="32"/>
        </w:rPr>
      </w:pPr>
      <w:r>
        <w:rPr>
          <w:rFonts w:hint="eastAsia"/>
          <w:color w:val="000000" w:themeColor="text1"/>
          <w:szCs w:val="32"/>
        </w:rPr>
        <w:t>课题</w:t>
      </w:r>
      <w:r>
        <w:rPr>
          <w:rFonts w:hint="eastAsia"/>
          <w:color w:val="000000" w:themeColor="text1"/>
          <w:szCs w:val="32"/>
        </w:rPr>
        <w:t>4</w:t>
      </w:r>
      <w:r>
        <w:rPr>
          <w:rFonts w:hint="eastAsia"/>
          <w:color w:val="000000" w:themeColor="text1"/>
          <w:szCs w:val="32"/>
        </w:rPr>
        <w:t>：</w:t>
      </w:r>
      <w:r>
        <w:rPr>
          <w:color w:val="000000" w:themeColor="text1"/>
          <w:szCs w:val="32"/>
        </w:rPr>
        <w:t>高效低排大型猪场废水深度处理技术</w:t>
      </w:r>
      <w:r>
        <w:rPr>
          <w:rFonts w:hint="eastAsia"/>
          <w:color w:val="000000" w:themeColor="text1"/>
          <w:szCs w:val="32"/>
        </w:rPr>
        <w:t>研发</w:t>
      </w:r>
      <w:r>
        <w:rPr>
          <w:color w:val="000000" w:themeColor="text1"/>
          <w:szCs w:val="32"/>
        </w:rPr>
        <w:t>。</w:t>
      </w:r>
    </w:p>
    <w:p w:rsidR="001601DB" w:rsidRDefault="003F1325">
      <w:pPr>
        <w:widowControl w:val="0"/>
        <w:adjustRightInd w:val="0"/>
        <w:snapToGrid w:val="0"/>
        <w:spacing w:line="560" w:lineRule="exact"/>
        <w:ind w:firstLineChars="200" w:firstLine="640"/>
        <w:jc w:val="both"/>
        <w:rPr>
          <w:color w:val="000000" w:themeColor="text1"/>
        </w:rPr>
      </w:pPr>
      <w:r>
        <w:rPr>
          <w:color w:val="000000" w:themeColor="text1"/>
        </w:rPr>
        <w:t>针对大型、特大型猪场液态粪污量大，难以完全还田利用，达标处理效果不稳定，能耗与处理费用高的问题，研究高效低碳猪场粪污厌氧、好氧处理利用技术，提高有机物、氮磷等污染物去除效率，降低处理过程能耗；研究沼液自养脱氮新技术，降低脱氮过程运行费用；集成创新生化处理出水深度处理技术，满足严格的入网或排放标准；研发猪场废水深度处理过程智能化控制技术与设备，提高处理系统运行稳定性，降低劳动强度与处理成本。</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5.2</w:t>
      </w:r>
      <w:r>
        <w:rPr>
          <w:color w:val="000000" w:themeColor="text1"/>
          <w:szCs w:val="32"/>
        </w:rPr>
        <w:t>考核指标。</w:t>
      </w:r>
    </w:p>
    <w:p w:rsidR="001601DB" w:rsidRDefault="003F1325">
      <w:pPr>
        <w:widowControl w:val="0"/>
        <w:spacing w:line="560" w:lineRule="exact"/>
        <w:ind w:firstLineChars="200" w:firstLine="640"/>
        <w:jc w:val="both"/>
        <w:rPr>
          <w:color w:val="000000" w:themeColor="text1"/>
        </w:rPr>
      </w:pPr>
      <w:r>
        <w:rPr>
          <w:color w:val="000000" w:themeColor="text1"/>
        </w:rPr>
        <w:t>开发除臭制剂、高值化专用有机无机复混肥产品</w:t>
      </w:r>
      <w:r>
        <w:rPr>
          <w:color w:val="000000" w:themeColor="text1"/>
        </w:rPr>
        <w:t>3</w:t>
      </w:r>
      <w:r>
        <w:rPr>
          <w:rFonts w:hint="eastAsia"/>
          <w:color w:val="000000" w:themeColor="text1"/>
        </w:rPr>
        <w:t>—</w:t>
      </w:r>
      <w:r>
        <w:rPr>
          <w:color w:val="000000" w:themeColor="text1"/>
        </w:rPr>
        <w:t>5</w:t>
      </w:r>
      <w:r>
        <w:rPr>
          <w:color w:val="000000" w:themeColor="text1"/>
        </w:rPr>
        <w:t>个；形成臭气处理、猪粪堆肥、废水深度处理新技术</w:t>
      </w:r>
      <w:r>
        <w:rPr>
          <w:color w:val="000000" w:themeColor="text1"/>
        </w:rPr>
        <w:t>3</w:t>
      </w:r>
      <w:r>
        <w:rPr>
          <w:rFonts w:hint="eastAsia"/>
          <w:color w:val="000000" w:themeColor="text1"/>
        </w:rPr>
        <w:t>—</w:t>
      </w:r>
      <w:r>
        <w:rPr>
          <w:color w:val="000000" w:themeColor="text1"/>
        </w:rPr>
        <w:t>5</w:t>
      </w:r>
      <w:r>
        <w:rPr>
          <w:color w:val="000000" w:themeColor="text1"/>
        </w:rPr>
        <w:t>项；开发除臭剂喷洒、粪水</w:t>
      </w:r>
      <w:r>
        <w:rPr>
          <w:color w:val="000000" w:themeColor="text1"/>
        </w:rPr>
        <w:t>/</w:t>
      </w:r>
      <w:r>
        <w:rPr>
          <w:color w:val="000000" w:themeColor="text1"/>
        </w:rPr>
        <w:t>沼液施用、污水深度处理控制等设施设备</w:t>
      </w:r>
      <w:r>
        <w:rPr>
          <w:color w:val="000000" w:themeColor="text1"/>
        </w:rPr>
        <w:t>2</w:t>
      </w:r>
      <w:r>
        <w:rPr>
          <w:rFonts w:hint="eastAsia"/>
          <w:color w:val="000000" w:themeColor="text1"/>
        </w:rPr>
        <w:t>—</w:t>
      </w:r>
      <w:r>
        <w:rPr>
          <w:color w:val="000000" w:themeColor="text1"/>
        </w:rPr>
        <w:t>4</w:t>
      </w:r>
      <w:r>
        <w:rPr>
          <w:color w:val="000000" w:themeColor="text1"/>
        </w:rPr>
        <w:t>套；构建猪场除臭、猪粪制肥、粪水利用、废水达标处理等低碳环保技术体系</w:t>
      </w:r>
      <w:r>
        <w:rPr>
          <w:color w:val="000000" w:themeColor="text1"/>
        </w:rPr>
        <w:t>3</w:t>
      </w:r>
      <w:r>
        <w:rPr>
          <w:rFonts w:hint="eastAsia"/>
          <w:color w:val="000000" w:themeColor="text1"/>
        </w:rPr>
        <w:t>—</w:t>
      </w:r>
      <w:r>
        <w:rPr>
          <w:color w:val="000000" w:themeColor="text1"/>
        </w:rPr>
        <w:t>4</w:t>
      </w:r>
      <w:r>
        <w:rPr>
          <w:color w:val="000000" w:themeColor="text1"/>
        </w:rPr>
        <w:t>套；制定猪场除臭、粪水利用与处理技术规程或标准</w:t>
      </w:r>
      <w:r>
        <w:rPr>
          <w:color w:val="000000" w:themeColor="text1"/>
        </w:rPr>
        <w:t>2</w:t>
      </w:r>
      <w:r>
        <w:rPr>
          <w:rFonts w:hint="eastAsia"/>
          <w:color w:val="000000" w:themeColor="text1"/>
        </w:rPr>
        <w:t>—</w:t>
      </w:r>
      <w:r>
        <w:rPr>
          <w:color w:val="000000" w:themeColor="text1"/>
        </w:rPr>
        <w:t>4</w:t>
      </w:r>
      <w:r>
        <w:rPr>
          <w:color w:val="000000" w:themeColor="text1"/>
        </w:rPr>
        <w:t>项；研发成果在</w:t>
      </w:r>
      <w:r>
        <w:rPr>
          <w:color w:val="000000" w:themeColor="text1"/>
        </w:rPr>
        <w:t>6</w:t>
      </w:r>
      <w:r>
        <w:rPr>
          <w:rFonts w:hint="eastAsia"/>
          <w:color w:val="000000" w:themeColor="text1"/>
        </w:rPr>
        <w:t>—</w:t>
      </w:r>
      <w:r>
        <w:rPr>
          <w:color w:val="000000" w:themeColor="text1"/>
        </w:rPr>
        <w:t>10</w:t>
      </w:r>
      <w:r>
        <w:rPr>
          <w:color w:val="000000" w:themeColor="text1"/>
        </w:rPr>
        <w:t>个规模猪场进行推广应用，提高生猪养殖臭气减排、粪污处理利用技术水平。</w:t>
      </w:r>
    </w:p>
    <w:p w:rsidR="001601DB" w:rsidRDefault="003F1325">
      <w:pPr>
        <w:widowControl w:val="0"/>
        <w:tabs>
          <w:tab w:val="left" w:pos="540"/>
        </w:tabs>
        <w:adjustRightInd w:val="0"/>
        <w:snapToGrid w:val="0"/>
        <w:spacing w:line="560" w:lineRule="exact"/>
        <w:ind w:firstLineChars="200" w:firstLine="640"/>
        <w:jc w:val="both"/>
        <w:rPr>
          <w:color w:val="000000" w:themeColor="text1"/>
        </w:rPr>
      </w:pPr>
      <w:r>
        <w:rPr>
          <w:color w:val="000000" w:themeColor="text1"/>
        </w:rPr>
        <w:t>除臭成套工艺对综合恶臭浓度（</w:t>
      </w:r>
      <w:r>
        <w:rPr>
          <w:color w:val="000000" w:themeColor="text1"/>
        </w:rPr>
        <w:t>OU</w:t>
      </w:r>
      <w:r>
        <w:rPr>
          <w:color w:val="000000" w:themeColor="text1"/>
        </w:rPr>
        <w:t>）去除率达到</w:t>
      </w:r>
      <w:r>
        <w:rPr>
          <w:color w:val="000000" w:themeColor="text1"/>
        </w:rPr>
        <w:t>90%</w:t>
      </w:r>
      <w:r>
        <w:rPr>
          <w:color w:val="000000" w:themeColor="text1"/>
        </w:rPr>
        <w:t>以上，</w:t>
      </w:r>
      <w:r>
        <w:rPr>
          <w:color w:val="000000" w:themeColor="text1"/>
        </w:rPr>
        <w:lastRenderedPageBreak/>
        <w:t>除臭成本降低</w:t>
      </w:r>
      <w:r>
        <w:rPr>
          <w:color w:val="000000" w:themeColor="text1"/>
        </w:rPr>
        <w:t>20%</w:t>
      </w:r>
      <w:r>
        <w:rPr>
          <w:color w:val="000000" w:themeColor="text1"/>
        </w:rPr>
        <w:t>以上；猪粪堆肥产品价值提升</w:t>
      </w:r>
      <w:r>
        <w:rPr>
          <w:color w:val="000000" w:themeColor="text1"/>
        </w:rPr>
        <w:t>20%</w:t>
      </w:r>
      <w:r>
        <w:rPr>
          <w:color w:val="000000" w:themeColor="text1"/>
        </w:rPr>
        <w:t>以上；粪水</w:t>
      </w:r>
      <w:r>
        <w:rPr>
          <w:color w:val="000000" w:themeColor="text1"/>
        </w:rPr>
        <w:t>/</w:t>
      </w:r>
      <w:r>
        <w:rPr>
          <w:color w:val="000000" w:themeColor="text1"/>
        </w:rPr>
        <w:t>沼液利用价值提升</w:t>
      </w:r>
      <w:r>
        <w:rPr>
          <w:color w:val="000000" w:themeColor="text1"/>
        </w:rPr>
        <w:t>20%</w:t>
      </w:r>
      <w:r>
        <w:rPr>
          <w:color w:val="000000" w:themeColor="text1"/>
        </w:rPr>
        <w:t>以上；猪场废水处理总氮、总磷去除率达到</w:t>
      </w:r>
      <w:r>
        <w:rPr>
          <w:color w:val="000000" w:themeColor="text1"/>
        </w:rPr>
        <w:t>90%</w:t>
      </w:r>
      <w:r>
        <w:rPr>
          <w:color w:val="000000" w:themeColor="text1"/>
        </w:rPr>
        <w:t>以上，处理费用降低</w:t>
      </w:r>
      <w:r>
        <w:rPr>
          <w:color w:val="000000" w:themeColor="text1"/>
        </w:rPr>
        <w:t>15%</w:t>
      </w:r>
      <w:r>
        <w:rPr>
          <w:color w:val="000000" w:themeColor="text1"/>
        </w:rPr>
        <w:t>以上，处理出水达到《四川省岷江、沱江流域水污染物排放标准》（</w:t>
      </w:r>
      <w:r>
        <w:rPr>
          <w:color w:val="000000" w:themeColor="text1"/>
        </w:rPr>
        <w:t>DB51/2311-2016</w:t>
      </w:r>
      <w:r>
        <w:rPr>
          <w:color w:val="000000" w:themeColor="text1"/>
        </w:rPr>
        <w:t>）或《污水排入城镇下水道水质标准》（</w:t>
      </w:r>
      <w:r>
        <w:rPr>
          <w:color w:val="000000" w:themeColor="text1"/>
        </w:rPr>
        <w:t>GB/T 31962-2015</w:t>
      </w:r>
      <w:r>
        <w:rPr>
          <w:color w:val="000000" w:themeColor="text1"/>
        </w:rPr>
        <w:t>）；技术成果整体达到国际先进水平。</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5.3</w:t>
      </w:r>
      <w:r>
        <w:rPr>
          <w:color w:val="000000" w:themeColor="text1"/>
          <w:szCs w:val="32"/>
        </w:rPr>
        <w:t>有关说明：拟支持</w:t>
      </w:r>
      <w:r>
        <w:rPr>
          <w:color w:val="000000" w:themeColor="text1"/>
          <w:szCs w:val="32"/>
        </w:rPr>
        <w:t>1</w:t>
      </w:r>
      <w:r>
        <w:rPr>
          <w:color w:val="000000" w:themeColor="text1"/>
          <w:szCs w:val="32"/>
        </w:rPr>
        <w:t>项，支持经费不超过</w:t>
      </w:r>
      <w:r>
        <w:rPr>
          <w:color w:val="000000" w:themeColor="text1"/>
          <w:szCs w:val="32"/>
        </w:rPr>
        <w:t>1</w:t>
      </w:r>
      <w:r>
        <w:rPr>
          <w:rFonts w:hint="eastAsia"/>
          <w:color w:val="000000" w:themeColor="text1"/>
          <w:szCs w:val="32"/>
        </w:rPr>
        <w:t>2</w:t>
      </w:r>
      <w:r>
        <w:rPr>
          <w:color w:val="000000" w:themeColor="text1"/>
          <w:szCs w:val="32"/>
        </w:rPr>
        <w:t>00</w:t>
      </w:r>
      <w:r>
        <w:rPr>
          <w:color w:val="000000" w:themeColor="text1"/>
          <w:szCs w:val="32"/>
        </w:rPr>
        <w:t>万元。</w:t>
      </w:r>
    </w:p>
    <w:p w:rsidR="001601DB" w:rsidRDefault="003F1325">
      <w:pPr>
        <w:widowControl w:val="0"/>
        <w:tabs>
          <w:tab w:val="left" w:pos="540"/>
        </w:tabs>
        <w:adjustRightInd w:val="0"/>
        <w:snapToGrid w:val="0"/>
        <w:spacing w:line="560" w:lineRule="exact"/>
        <w:ind w:firstLineChars="200" w:firstLine="640"/>
        <w:jc w:val="both"/>
        <w:rPr>
          <w:rFonts w:eastAsia="黑体"/>
          <w:color w:val="000000" w:themeColor="text1"/>
          <w:szCs w:val="32"/>
        </w:rPr>
      </w:pPr>
      <w:r>
        <w:rPr>
          <w:rFonts w:eastAsia="黑体"/>
          <w:color w:val="000000" w:themeColor="text1"/>
          <w:szCs w:val="32"/>
        </w:rPr>
        <w:t>五、申报要求</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color w:val="000000" w:themeColor="text1"/>
          <w:szCs w:val="32"/>
        </w:rPr>
        <w:t>1.</w:t>
      </w:r>
      <w:r>
        <w:rPr>
          <w:color w:val="000000" w:themeColor="text1"/>
          <w:szCs w:val="32"/>
        </w:rPr>
        <w:t>以项目为单位整体申报，需涵盖项目全部研究内容和考核指标。</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2.</w:t>
      </w:r>
      <w:r>
        <w:rPr>
          <w:color w:val="000000" w:themeColor="text1"/>
          <w:szCs w:val="32"/>
        </w:rPr>
        <w:t>项目自筹经费与申请经费比例不低于</w:t>
      </w:r>
      <w:r>
        <w:rPr>
          <w:color w:val="000000" w:themeColor="text1"/>
          <w:szCs w:val="32"/>
        </w:rPr>
        <w:t>1:1</w:t>
      </w:r>
      <w:r>
        <w:rPr>
          <w:color w:val="000000" w:themeColor="text1"/>
          <w:szCs w:val="32"/>
        </w:rPr>
        <w:t>，申报时须出具资金配套证明、相应附件。</w:t>
      </w:r>
    </w:p>
    <w:p w:rsidR="001601DB" w:rsidRDefault="003F1325">
      <w:pPr>
        <w:widowControl w:val="0"/>
        <w:tabs>
          <w:tab w:val="left" w:pos="540"/>
        </w:tabs>
        <w:adjustRightInd w:val="0"/>
        <w:snapToGrid w:val="0"/>
        <w:spacing w:line="560" w:lineRule="exact"/>
        <w:ind w:firstLineChars="200" w:firstLine="640"/>
        <w:jc w:val="both"/>
        <w:rPr>
          <w:color w:val="000000" w:themeColor="text1"/>
          <w:szCs w:val="32"/>
        </w:rPr>
      </w:pPr>
      <w:r>
        <w:rPr>
          <w:rFonts w:hint="eastAsia"/>
          <w:color w:val="000000" w:themeColor="text1"/>
          <w:szCs w:val="32"/>
        </w:rPr>
        <w:t>3</w:t>
      </w:r>
      <w:r>
        <w:rPr>
          <w:color w:val="000000" w:themeColor="text1"/>
          <w:szCs w:val="32"/>
        </w:rPr>
        <w:t>.</w:t>
      </w:r>
      <w:r>
        <w:rPr>
          <w:color w:val="000000" w:themeColor="text1"/>
          <w:szCs w:val="32"/>
        </w:rPr>
        <w:t>每个项目联合申报单位不超过</w:t>
      </w:r>
      <w:r>
        <w:rPr>
          <w:color w:val="000000" w:themeColor="text1"/>
          <w:szCs w:val="32"/>
        </w:rPr>
        <w:t>10</w:t>
      </w:r>
      <w:r>
        <w:rPr>
          <w:color w:val="000000" w:themeColor="text1"/>
          <w:szCs w:val="32"/>
        </w:rPr>
        <w:t>家。</w:t>
      </w:r>
    </w:p>
    <w:p w:rsidR="001601DB" w:rsidRDefault="001601DB">
      <w:pPr>
        <w:tabs>
          <w:tab w:val="left" w:pos="540"/>
        </w:tabs>
        <w:adjustRightInd w:val="0"/>
        <w:snapToGrid w:val="0"/>
        <w:spacing w:line="560" w:lineRule="exact"/>
        <w:ind w:firstLineChars="200" w:firstLine="640"/>
        <w:rPr>
          <w:color w:val="000000" w:themeColor="text1"/>
          <w:szCs w:val="32"/>
        </w:rPr>
        <w:sectPr w:rsidR="001601DB">
          <w:footerReference w:type="even" r:id="rId9"/>
          <w:footerReference w:type="default" r:id="rId10"/>
          <w:pgSz w:w="11906" w:h="16838"/>
          <w:pgMar w:top="2098" w:right="1474" w:bottom="1984" w:left="1588" w:header="851" w:footer="1531" w:gutter="0"/>
          <w:cols w:space="720"/>
          <w:docGrid w:type="lines" w:linePitch="579" w:charSpace="-849"/>
        </w:sectPr>
      </w:pPr>
    </w:p>
    <w:p w:rsidR="001601DB" w:rsidRDefault="003F1325">
      <w:pPr>
        <w:widowControl w:val="0"/>
        <w:adjustRightInd w:val="0"/>
        <w:snapToGrid w:val="0"/>
        <w:spacing w:line="570" w:lineRule="exact"/>
        <w:outlineLvl w:val="0"/>
        <w:rPr>
          <w:rFonts w:eastAsia="黑体"/>
          <w:color w:val="000000" w:themeColor="text1"/>
          <w:szCs w:val="32"/>
        </w:rPr>
      </w:pPr>
      <w:bookmarkStart w:id="2" w:name="_Toc56866828"/>
      <w:bookmarkStart w:id="3" w:name="_Toc67569184"/>
      <w:bookmarkStart w:id="4" w:name="_Toc66693216"/>
      <w:r>
        <w:rPr>
          <w:rFonts w:ascii="黑体" w:eastAsia="黑体" w:hAnsi="黑体" w:cs="黑体" w:hint="eastAsia"/>
          <w:color w:val="000000" w:themeColor="text1"/>
          <w:szCs w:val="32"/>
        </w:rPr>
        <w:lastRenderedPageBreak/>
        <w:t>附件</w:t>
      </w:r>
      <w:bookmarkEnd w:id="2"/>
      <w:bookmarkEnd w:id="3"/>
      <w:bookmarkEnd w:id="4"/>
      <w:r>
        <w:rPr>
          <w:rFonts w:eastAsia="黑体"/>
          <w:color w:val="000000" w:themeColor="text1"/>
          <w:szCs w:val="32"/>
        </w:rPr>
        <w:t>2</w:t>
      </w:r>
    </w:p>
    <w:p w:rsidR="001601DB" w:rsidRDefault="001601DB">
      <w:pPr>
        <w:widowControl w:val="0"/>
        <w:spacing w:line="570" w:lineRule="exact"/>
        <w:jc w:val="center"/>
        <w:rPr>
          <w:rFonts w:eastAsia="方正小标宋_GBK"/>
          <w:color w:val="000000" w:themeColor="text1"/>
          <w:sz w:val="44"/>
          <w:szCs w:val="44"/>
        </w:rPr>
      </w:pPr>
      <w:bookmarkStart w:id="5" w:name="_Toc56866829"/>
      <w:bookmarkStart w:id="6" w:name="_Toc64975808"/>
    </w:p>
    <w:p w:rsidR="001601DB" w:rsidRDefault="003F1325">
      <w:pPr>
        <w:widowControl w:val="0"/>
        <w:spacing w:line="570" w:lineRule="exact"/>
        <w:jc w:val="center"/>
        <w:rPr>
          <w:rFonts w:eastAsia="方正小标宋_GBK"/>
          <w:color w:val="000000" w:themeColor="text1"/>
          <w:sz w:val="44"/>
          <w:szCs w:val="44"/>
        </w:rPr>
      </w:pPr>
      <w:r>
        <w:rPr>
          <w:rFonts w:eastAsia="方正小标宋_GBK" w:hint="eastAsia"/>
          <w:color w:val="000000" w:themeColor="text1"/>
          <w:sz w:val="44"/>
          <w:szCs w:val="44"/>
        </w:rPr>
        <w:t>四川省“十四五”川猪重大科技专项实施方案</w:t>
      </w:r>
      <w:r>
        <w:rPr>
          <w:rFonts w:eastAsia="方正小标宋_GBK"/>
          <w:color w:val="000000" w:themeColor="text1"/>
          <w:sz w:val="44"/>
          <w:szCs w:val="44"/>
        </w:rPr>
        <w:t>编制专家组名单</w:t>
      </w:r>
    </w:p>
    <w:p w:rsidR="001601DB" w:rsidRDefault="001601DB" w:rsidP="003F1325">
      <w:pPr>
        <w:pStyle w:val="a0"/>
        <w:ind w:firstLine="320"/>
        <w:rPr>
          <w:color w:val="000000" w:themeColor="text1"/>
        </w:rPr>
      </w:pP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1334"/>
        <w:gridCol w:w="3531"/>
        <w:gridCol w:w="2367"/>
        <w:gridCol w:w="916"/>
      </w:tblGrid>
      <w:tr w:rsidR="001601DB">
        <w:trPr>
          <w:trHeight w:val="645"/>
          <w:jc w:val="center"/>
        </w:trPr>
        <w:tc>
          <w:tcPr>
            <w:tcW w:w="951" w:type="dxa"/>
            <w:vAlign w:val="center"/>
          </w:tcPr>
          <w:p w:rsidR="001601DB" w:rsidRDefault="003F1325">
            <w:pPr>
              <w:jc w:val="center"/>
              <w:textAlignment w:val="baseline"/>
              <w:rPr>
                <w:rStyle w:val="NormalCharacter"/>
                <w:rFonts w:eastAsia="楷体_GB2312"/>
                <w:color w:val="000000" w:themeColor="text1"/>
                <w:kern w:val="0"/>
                <w:szCs w:val="32"/>
              </w:rPr>
            </w:pPr>
            <w:r>
              <w:rPr>
                <w:rStyle w:val="NormalCharacter"/>
                <w:rFonts w:eastAsia="楷体_GB2312"/>
                <w:color w:val="000000" w:themeColor="text1"/>
                <w:kern w:val="0"/>
                <w:szCs w:val="32"/>
              </w:rPr>
              <w:t>序号</w:t>
            </w:r>
          </w:p>
        </w:tc>
        <w:tc>
          <w:tcPr>
            <w:tcW w:w="1334" w:type="dxa"/>
            <w:vAlign w:val="center"/>
          </w:tcPr>
          <w:p w:rsidR="001601DB" w:rsidRDefault="003F1325">
            <w:pPr>
              <w:jc w:val="center"/>
              <w:textAlignment w:val="baseline"/>
              <w:rPr>
                <w:rStyle w:val="NormalCharacter"/>
                <w:rFonts w:eastAsia="楷体_GB2312"/>
                <w:color w:val="000000" w:themeColor="text1"/>
                <w:kern w:val="0"/>
                <w:szCs w:val="32"/>
              </w:rPr>
            </w:pPr>
            <w:r>
              <w:rPr>
                <w:rStyle w:val="NormalCharacter"/>
                <w:rFonts w:eastAsia="楷体_GB2312"/>
                <w:color w:val="000000" w:themeColor="text1"/>
                <w:kern w:val="0"/>
                <w:szCs w:val="32"/>
              </w:rPr>
              <w:t>姓</w:t>
            </w:r>
            <w:r>
              <w:rPr>
                <w:rStyle w:val="NormalCharacter"/>
                <w:rFonts w:eastAsia="楷体_GB2312"/>
                <w:color w:val="000000" w:themeColor="text1"/>
                <w:kern w:val="0"/>
                <w:szCs w:val="32"/>
              </w:rPr>
              <w:t xml:space="preserve">  </w:t>
            </w:r>
            <w:r>
              <w:rPr>
                <w:rStyle w:val="NormalCharacter"/>
                <w:rFonts w:eastAsia="楷体_GB2312"/>
                <w:color w:val="000000" w:themeColor="text1"/>
                <w:kern w:val="0"/>
                <w:szCs w:val="32"/>
              </w:rPr>
              <w:t>名</w:t>
            </w:r>
          </w:p>
        </w:tc>
        <w:tc>
          <w:tcPr>
            <w:tcW w:w="3531" w:type="dxa"/>
            <w:vAlign w:val="center"/>
          </w:tcPr>
          <w:p w:rsidR="001601DB" w:rsidRDefault="003F1325">
            <w:pPr>
              <w:jc w:val="center"/>
              <w:textAlignment w:val="baseline"/>
              <w:rPr>
                <w:rStyle w:val="NormalCharacter"/>
                <w:rFonts w:eastAsia="楷体_GB2312"/>
                <w:color w:val="000000" w:themeColor="text1"/>
                <w:kern w:val="0"/>
                <w:szCs w:val="32"/>
              </w:rPr>
            </w:pPr>
            <w:r>
              <w:rPr>
                <w:rStyle w:val="NormalCharacter"/>
                <w:rFonts w:eastAsia="楷体_GB2312"/>
                <w:color w:val="000000" w:themeColor="text1"/>
                <w:kern w:val="0"/>
                <w:szCs w:val="32"/>
              </w:rPr>
              <w:t>单</w:t>
            </w:r>
            <w:r>
              <w:rPr>
                <w:rStyle w:val="NormalCharacter"/>
                <w:rFonts w:eastAsia="楷体_GB2312"/>
                <w:color w:val="000000" w:themeColor="text1"/>
                <w:kern w:val="0"/>
                <w:szCs w:val="32"/>
              </w:rPr>
              <w:t xml:space="preserve">  </w:t>
            </w:r>
            <w:r>
              <w:rPr>
                <w:rStyle w:val="NormalCharacter"/>
                <w:rFonts w:eastAsia="楷体_GB2312"/>
                <w:color w:val="000000" w:themeColor="text1"/>
                <w:kern w:val="0"/>
                <w:szCs w:val="32"/>
              </w:rPr>
              <w:t>位</w:t>
            </w:r>
          </w:p>
        </w:tc>
        <w:tc>
          <w:tcPr>
            <w:tcW w:w="2367" w:type="dxa"/>
            <w:vAlign w:val="center"/>
          </w:tcPr>
          <w:p w:rsidR="001601DB" w:rsidRDefault="003F1325">
            <w:pPr>
              <w:jc w:val="center"/>
              <w:textAlignment w:val="baseline"/>
              <w:rPr>
                <w:rStyle w:val="NormalCharacter"/>
                <w:rFonts w:eastAsia="楷体_GB2312"/>
                <w:color w:val="000000" w:themeColor="text1"/>
                <w:kern w:val="0"/>
                <w:szCs w:val="32"/>
              </w:rPr>
            </w:pPr>
            <w:r>
              <w:rPr>
                <w:rStyle w:val="NormalCharacter"/>
                <w:rFonts w:eastAsia="楷体_GB2312"/>
                <w:color w:val="000000" w:themeColor="text1"/>
                <w:kern w:val="0"/>
                <w:szCs w:val="32"/>
              </w:rPr>
              <w:t>职称</w:t>
            </w:r>
            <w:r>
              <w:rPr>
                <w:rStyle w:val="NormalCharacter"/>
                <w:rFonts w:eastAsia="楷体_GB2312"/>
                <w:color w:val="000000" w:themeColor="text1"/>
                <w:kern w:val="0"/>
                <w:szCs w:val="32"/>
              </w:rPr>
              <w:t>/</w:t>
            </w:r>
            <w:r>
              <w:rPr>
                <w:rStyle w:val="NormalCharacter"/>
                <w:rFonts w:eastAsia="楷体_GB2312"/>
                <w:color w:val="000000" w:themeColor="text1"/>
                <w:kern w:val="0"/>
                <w:szCs w:val="32"/>
              </w:rPr>
              <w:t>职务</w:t>
            </w:r>
          </w:p>
        </w:tc>
        <w:tc>
          <w:tcPr>
            <w:tcW w:w="916" w:type="dxa"/>
            <w:vAlign w:val="center"/>
          </w:tcPr>
          <w:p w:rsidR="001601DB" w:rsidRDefault="003F1325">
            <w:pPr>
              <w:jc w:val="center"/>
              <w:textAlignment w:val="baseline"/>
              <w:rPr>
                <w:rStyle w:val="NormalCharacter"/>
                <w:rFonts w:eastAsia="楷体_GB2312"/>
                <w:color w:val="000000" w:themeColor="text1"/>
                <w:kern w:val="0"/>
                <w:szCs w:val="32"/>
              </w:rPr>
            </w:pPr>
            <w:r>
              <w:rPr>
                <w:rStyle w:val="NormalCharacter"/>
                <w:rFonts w:eastAsia="楷体_GB2312"/>
                <w:color w:val="000000" w:themeColor="text1"/>
                <w:kern w:val="0"/>
                <w:szCs w:val="32"/>
              </w:rPr>
              <w:t>备注</w:t>
            </w: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1</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陈代文</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四川农业大学</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副校长</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2</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李明洲</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四川农业大学</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副校长</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3</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何</w:t>
            </w:r>
            <w:r>
              <w:rPr>
                <w:color w:val="000000" w:themeColor="text1"/>
                <w:kern w:val="0"/>
                <w:sz w:val="28"/>
                <w:szCs w:val="28"/>
              </w:rPr>
              <w:t xml:space="preserve">  </w:t>
            </w:r>
            <w:r>
              <w:rPr>
                <w:color w:val="000000" w:themeColor="text1"/>
                <w:kern w:val="0"/>
                <w:sz w:val="28"/>
                <w:szCs w:val="28"/>
              </w:rPr>
              <w:t>军</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四川农业大学</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副院长</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4</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吕学斌</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四川省畜牧科学研究院</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研究员</w:t>
            </w:r>
            <w:r>
              <w:rPr>
                <w:color w:val="000000" w:themeColor="text1"/>
                <w:kern w:val="0"/>
                <w:sz w:val="28"/>
                <w:szCs w:val="28"/>
              </w:rPr>
              <w:t>/</w:t>
            </w:r>
            <w:r>
              <w:rPr>
                <w:color w:val="000000" w:themeColor="text1"/>
                <w:kern w:val="0"/>
                <w:sz w:val="28"/>
                <w:szCs w:val="28"/>
              </w:rPr>
              <w:t>所长</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5</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徐志文</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四川农业大学</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教授</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6</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张安云</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四川大学</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教授</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7</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王文国</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农业部成都沼气所</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研究员</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r w:rsidR="001601DB">
        <w:trPr>
          <w:trHeight w:val="737"/>
          <w:jc w:val="center"/>
        </w:trPr>
        <w:tc>
          <w:tcPr>
            <w:tcW w:w="951" w:type="dxa"/>
            <w:vAlign w:val="center"/>
          </w:tcPr>
          <w:p w:rsidR="001601DB" w:rsidRDefault="003F1325">
            <w:pPr>
              <w:jc w:val="center"/>
              <w:textAlignment w:val="baseline"/>
              <w:rPr>
                <w:rStyle w:val="NormalCharacter"/>
                <w:rFonts w:eastAsia="华文仿宋"/>
                <w:color w:val="000000" w:themeColor="text1"/>
                <w:kern w:val="0"/>
                <w:sz w:val="28"/>
                <w:szCs w:val="28"/>
              </w:rPr>
            </w:pPr>
            <w:r>
              <w:rPr>
                <w:rStyle w:val="NormalCharacter"/>
                <w:rFonts w:eastAsia="华文仿宋"/>
                <w:color w:val="000000" w:themeColor="text1"/>
                <w:kern w:val="0"/>
                <w:sz w:val="28"/>
                <w:szCs w:val="28"/>
              </w:rPr>
              <w:t>8</w:t>
            </w:r>
          </w:p>
        </w:tc>
        <w:tc>
          <w:tcPr>
            <w:tcW w:w="1334"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桑永胜</w:t>
            </w:r>
          </w:p>
        </w:tc>
        <w:tc>
          <w:tcPr>
            <w:tcW w:w="3531"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四川大学计算机研究院</w:t>
            </w:r>
          </w:p>
        </w:tc>
        <w:tc>
          <w:tcPr>
            <w:tcW w:w="2367" w:type="dxa"/>
            <w:vAlign w:val="center"/>
          </w:tcPr>
          <w:p w:rsidR="001601DB" w:rsidRDefault="003F1325">
            <w:pPr>
              <w:jc w:val="center"/>
              <w:textAlignment w:val="baseline"/>
              <w:rPr>
                <w:color w:val="000000" w:themeColor="text1"/>
                <w:kern w:val="0"/>
                <w:sz w:val="28"/>
                <w:szCs w:val="28"/>
              </w:rPr>
            </w:pPr>
            <w:r>
              <w:rPr>
                <w:color w:val="000000" w:themeColor="text1"/>
                <w:kern w:val="0"/>
                <w:sz w:val="28"/>
                <w:szCs w:val="28"/>
              </w:rPr>
              <w:t>副教授</w:t>
            </w:r>
          </w:p>
        </w:tc>
        <w:tc>
          <w:tcPr>
            <w:tcW w:w="916" w:type="dxa"/>
            <w:vAlign w:val="center"/>
          </w:tcPr>
          <w:p w:rsidR="001601DB" w:rsidRDefault="001601DB">
            <w:pPr>
              <w:jc w:val="center"/>
              <w:textAlignment w:val="baseline"/>
              <w:rPr>
                <w:rStyle w:val="NormalCharacter"/>
                <w:rFonts w:eastAsia="宋体"/>
                <w:color w:val="000000" w:themeColor="text1"/>
                <w:kern w:val="0"/>
                <w:sz w:val="28"/>
                <w:szCs w:val="28"/>
              </w:rPr>
            </w:pPr>
          </w:p>
        </w:tc>
      </w:tr>
    </w:tbl>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1601DB" w:rsidP="003F1325">
      <w:pPr>
        <w:pStyle w:val="a0"/>
        <w:ind w:firstLine="320"/>
        <w:rPr>
          <w:color w:val="000000" w:themeColor="text1"/>
        </w:rPr>
      </w:pPr>
    </w:p>
    <w:p w:rsidR="001601DB" w:rsidRDefault="003F1325">
      <w:pPr>
        <w:pStyle w:val="a0"/>
        <w:ind w:firstLineChars="0" w:firstLine="0"/>
        <w:rPr>
          <w:rFonts w:eastAsia="黑体"/>
          <w:color w:val="000000" w:themeColor="text1"/>
        </w:rPr>
      </w:pPr>
      <w:r>
        <w:rPr>
          <w:rFonts w:ascii="黑体" w:eastAsia="黑体" w:hAnsi="黑体" w:cs="黑体" w:hint="eastAsia"/>
          <w:color w:val="000000" w:themeColor="text1"/>
        </w:rPr>
        <w:t>附件</w:t>
      </w:r>
      <w:r>
        <w:rPr>
          <w:rFonts w:eastAsia="黑体"/>
          <w:color w:val="000000" w:themeColor="text1"/>
        </w:rPr>
        <w:t>3</w:t>
      </w:r>
    </w:p>
    <w:p w:rsidR="001601DB" w:rsidRDefault="001601DB">
      <w:pPr>
        <w:pStyle w:val="a0"/>
        <w:ind w:firstLineChars="0" w:firstLine="0"/>
        <w:rPr>
          <w:rFonts w:eastAsia="黑体"/>
          <w:color w:val="000000" w:themeColor="text1"/>
        </w:rPr>
      </w:pPr>
    </w:p>
    <w:p w:rsidR="001601DB" w:rsidRDefault="003F1325">
      <w:pPr>
        <w:widowControl w:val="0"/>
        <w:spacing w:line="570" w:lineRule="exact"/>
        <w:jc w:val="center"/>
        <w:rPr>
          <w:rFonts w:eastAsia="方正小标宋_GBK"/>
          <w:color w:val="000000" w:themeColor="text1"/>
          <w:sz w:val="44"/>
          <w:szCs w:val="44"/>
        </w:rPr>
      </w:pPr>
      <w:r>
        <w:rPr>
          <w:rFonts w:eastAsia="方正小标宋_GBK" w:hint="eastAsia"/>
          <w:color w:val="000000" w:themeColor="text1"/>
          <w:sz w:val="44"/>
          <w:szCs w:val="44"/>
        </w:rPr>
        <w:t>四川省“十四五”川猪重大科技专项</w:t>
      </w:r>
    </w:p>
    <w:p w:rsidR="001601DB" w:rsidRDefault="003F1325">
      <w:pPr>
        <w:widowControl w:val="0"/>
        <w:spacing w:line="570" w:lineRule="exact"/>
        <w:jc w:val="center"/>
        <w:rPr>
          <w:rFonts w:eastAsia="方正小标宋_GBK"/>
          <w:color w:val="000000" w:themeColor="text1"/>
          <w:sz w:val="44"/>
          <w:szCs w:val="44"/>
        </w:rPr>
      </w:pPr>
      <w:r>
        <w:rPr>
          <w:rFonts w:eastAsia="方正小标宋_GBK" w:hint="eastAsia"/>
          <w:color w:val="000000" w:themeColor="text1"/>
          <w:sz w:val="44"/>
          <w:szCs w:val="44"/>
        </w:rPr>
        <w:t>项目指南</w:t>
      </w:r>
      <w:r>
        <w:rPr>
          <w:rFonts w:eastAsia="方正小标宋_GBK"/>
          <w:color w:val="000000" w:themeColor="text1"/>
          <w:sz w:val="44"/>
          <w:szCs w:val="44"/>
        </w:rPr>
        <w:t>编制专家组名单</w:t>
      </w:r>
      <w:bookmarkEnd w:id="5"/>
      <w:bookmarkEnd w:id="6"/>
    </w:p>
    <w:p w:rsidR="001601DB" w:rsidRDefault="001601DB" w:rsidP="003F1325">
      <w:pPr>
        <w:pStyle w:val="a0"/>
        <w:ind w:firstLine="320"/>
        <w:rPr>
          <w:color w:val="000000" w:themeColor="text1"/>
        </w:rPr>
      </w:pP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1334"/>
        <w:gridCol w:w="3531"/>
        <w:gridCol w:w="2367"/>
        <w:gridCol w:w="916"/>
      </w:tblGrid>
      <w:tr w:rsidR="001601DB">
        <w:trPr>
          <w:trHeight w:val="735"/>
          <w:jc w:val="center"/>
        </w:trPr>
        <w:tc>
          <w:tcPr>
            <w:tcW w:w="951" w:type="dxa"/>
            <w:vAlign w:val="center"/>
          </w:tcPr>
          <w:p w:rsidR="001601DB" w:rsidRDefault="003F1325">
            <w:pPr>
              <w:widowControl w:val="0"/>
              <w:spacing w:line="570" w:lineRule="exact"/>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序号</w:t>
            </w:r>
          </w:p>
        </w:tc>
        <w:tc>
          <w:tcPr>
            <w:tcW w:w="1334" w:type="dxa"/>
            <w:vAlign w:val="center"/>
          </w:tcPr>
          <w:p w:rsidR="001601DB" w:rsidRDefault="003F1325">
            <w:pPr>
              <w:widowControl w:val="0"/>
              <w:spacing w:line="570" w:lineRule="exact"/>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姓</w:t>
            </w:r>
            <w:r>
              <w:rPr>
                <w:rFonts w:ascii="黑体" w:eastAsia="黑体" w:hAnsi="黑体" w:cs="黑体" w:hint="eastAsia"/>
                <w:color w:val="000000" w:themeColor="text1"/>
                <w:kern w:val="0"/>
                <w:szCs w:val="32"/>
              </w:rPr>
              <w:t xml:space="preserve">  </w:t>
            </w:r>
            <w:r>
              <w:rPr>
                <w:rFonts w:ascii="黑体" w:eastAsia="黑体" w:hAnsi="黑体" w:cs="黑体" w:hint="eastAsia"/>
                <w:color w:val="000000" w:themeColor="text1"/>
                <w:kern w:val="0"/>
                <w:szCs w:val="32"/>
              </w:rPr>
              <w:t>名</w:t>
            </w:r>
          </w:p>
        </w:tc>
        <w:tc>
          <w:tcPr>
            <w:tcW w:w="3531" w:type="dxa"/>
            <w:vAlign w:val="center"/>
          </w:tcPr>
          <w:p w:rsidR="001601DB" w:rsidRDefault="003F1325">
            <w:pPr>
              <w:widowControl w:val="0"/>
              <w:spacing w:line="570" w:lineRule="exact"/>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单</w:t>
            </w:r>
            <w:r>
              <w:rPr>
                <w:rFonts w:ascii="黑体" w:eastAsia="黑体" w:hAnsi="黑体" w:cs="黑体" w:hint="eastAsia"/>
                <w:color w:val="000000" w:themeColor="text1"/>
                <w:kern w:val="0"/>
                <w:szCs w:val="32"/>
              </w:rPr>
              <w:t xml:space="preserve">  </w:t>
            </w:r>
            <w:r>
              <w:rPr>
                <w:rFonts w:ascii="黑体" w:eastAsia="黑体" w:hAnsi="黑体" w:cs="黑体" w:hint="eastAsia"/>
                <w:color w:val="000000" w:themeColor="text1"/>
                <w:kern w:val="0"/>
                <w:szCs w:val="32"/>
              </w:rPr>
              <w:t>位</w:t>
            </w:r>
          </w:p>
        </w:tc>
        <w:tc>
          <w:tcPr>
            <w:tcW w:w="2367" w:type="dxa"/>
            <w:vAlign w:val="center"/>
          </w:tcPr>
          <w:p w:rsidR="001601DB" w:rsidRDefault="003F1325">
            <w:pPr>
              <w:widowControl w:val="0"/>
              <w:spacing w:line="570" w:lineRule="exact"/>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职称</w:t>
            </w:r>
            <w:r>
              <w:rPr>
                <w:rFonts w:ascii="黑体" w:eastAsia="黑体" w:hAnsi="黑体" w:cs="黑体" w:hint="eastAsia"/>
                <w:color w:val="000000" w:themeColor="text1"/>
                <w:kern w:val="0"/>
                <w:szCs w:val="32"/>
              </w:rPr>
              <w:t>/</w:t>
            </w:r>
            <w:r>
              <w:rPr>
                <w:rFonts w:ascii="黑体" w:eastAsia="黑体" w:hAnsi="黑体" w:cs="黑体" w:hint="eastAsia"/>
                <w:color w:val="000000" w:themeColor="text1"/>
                <w:kern w:val="0"/>
                <w:szCs w:val="32"/>
              </w:rPr>
              <w:t>职务</w:t>
            </w:r>
          </w:p>
        </w:tc>
        <w:tc>
          <w:tcPr>
            <w:tcW w:w="916" w:type="dxa"/>
            <w:vAlign w:val="center"/>
          </w:tcPr>
          <w:p w:rsidR="001601DB" w:rsidRDefault="003F1325">
            <w:pPr>
              <w:widowControl w:val="0"/>
              <w:spacing w:line="570" w:lineRule="exact"/>
              <w:jc w:val="center"/>
              <w:rPr>
                <w:rFonts w:ascii="黑体" w:eastAsia="黑体" w:hAnsi="黑体" w:cs="黑体"/>
                <w:color w:val="000000" w:themeColor="text1"/>
                <w:kern w:val="0"/>
                <w:szCs w:val="32"/>
              </w:rPr>
            </w:pPr>
            <w:r>
              <w:rPr>
                <w:rFonts w:ascii="黑体" w:eastAsia="黑体" w:hAnsi="黑体" w:cs="黑体" w:hint="eastAsia"/>
                <w:color w:val="000000" w:themeColor="text1"/>
                <w:kern w:val="0"/>
                <w:szCs w:val="32"/>
              </w:rPr>
              <w:t>备注</w:t>
            </w: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1</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陈代文</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四川农业大学</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副校长</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2</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李明洲</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四川农业大学</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副校长</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3</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何</w:t>
            </w:r>
            <w:r>
              <w:rPr>
                <w:color w:val="000000" w:themeColor="text1"/>
                <w:kern w:val="0"/>
                <w:sz w:val="28"/>
                <w:szCs w:val="28"/>
              </w:rPr>
              <w:t xml:space="preserve">  </w:t>
            </w:r>
            <w:r>
              <w:rPr>
                <w:color w:val="000000" w:themeColor="text1"/>
                <w:kern w:val="0"/>
                <w:sz w:val="28"/>
                <w:szCs w:val="28"/>
              </w:rPr>
              <w:t>军</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四川农业大学</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教授</w:t>
            </w:r>
            <w:r>
              <w:rPr>
                <w:color w:val="000000" w:themeColor="text1"/>
                <w:kern w:val="0"/>
                <w:sz w:val="28"/>
                <w:szCs w:val="28"/>
              </w:rPr>
              <w:t>/</w:t>
            </w:r>
            <w:r>
              <w:rPr>
                <w:color w:val="000000" w:themeColor="text1"/>
                <w:kern w:val="0"/>
                <w:sz w:val="28"/>
                <w:szCs w:val="28"/>
              </w:rPr>
              <w:t>副院长</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4</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吕学斌</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四川省畜牧科学研究院</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研究员</w:t>
            </w:r>
            <w:r>
              <w:rPr>
                <w:color w:val="000000" w:themeColor="text1"/>
                <w:kern w:val="0"/>
                <w:sz w:val="28"/>
                <w:szCs w:val="28"/>
              </w:rPr>
              <w:t>/</w:t>
            </w:r>
            <w:r>
              <w:rPr>
                <w:color w:val="000000" w:themeColor="text1"/>
                <w:kern w:val="0"/>
                <w:sz w:val="28"/>
                <w:szCs w:val="28"/>
              </w:rPr>
              <w:t>所长</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5</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徐志文</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四川农业大学</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教授</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6</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张安云</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四川大学</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教授</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7</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王文国</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农业部成都沼气所</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研究员</w:t>
            </w:r>
          </w:p>
        </w:tc>
        <w:tc>
          <w:tcPr>
            <w:tcW w:w="916" w:type="dxa"/>
          </w:tcPr>
          <w:p w:rsidR="001601DB" w:rsidRDefault="001601DB">
            <w:pPr>
              <w:widowControl w:val="0"/>
              <w:spacing w:line="570" w:lineRule="exact"/>
              <w:jc w:val="center"/>
              <w:rPr>
                <w:color w:val="000000" w:themeColor="text1"/>
                <w:kern w:val="0"/>
                <w:sz w:val="28"/>
                <w:szCs w:val="28"/>
              </w:rPr>
            </w:pPr>
          </w:p>
        </w:tc>
      </w:tr>
      <w:tr w:rsidR="001601DB">
        <w:trPr>
          <w:trHeight w:val="737"/>
          <w:jc w:val="center"/>
        </w:trPr>
        <w:tc>
          <w:tcPr>
            <w:tcW w:w="951" w:type="dxa"/>
            <w:vAlign w:val="center"/>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8</w:t>
            </w:r>
          </w:p>
        </w:tc>
        <w:tc>
          <w:tcPr>
            <w:tcW w:w="1334"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桑永胜</w:t>
            </w:r>
          </w:p>
        </w:tc>
        <w:tc>
          <w:tcPr>
            <w:tcW w:w="3531" w:type="dxa"/>
          </w:tcPr>
          <w:p w:rsidR="001601DB" w:rsidRDefault="003F1325">
            <w:pPr>
              <w:widowControl w:val="0"/>
              <w:spacing w:line="570" w:lineRule="exact"/>
              <w:rPr>
                <w:color w:val="000000" w:themeColor="text1"/>
                <w:kern w:val="0"/>
                <w:sz w:val="28"/>
                <w:szCs w:val="28"/>
              </w:rPr>
            </w:pPr>
            <w:r>
              <w:rPr>
                <w:color w:val="000000" w:themeColor="text1"/>
                <w:kern w:val="0"/>
                <w:sz w:val="28"/>
                <w:szCs w:val="28"/>
              </w:rPr>
              <w:t>四川大学计算机研究院</w:t>
            </w:r>
          </w:p>
        </w:tc>
        <w:tc>
          <w:tcPr>
            <w:tcW w:w="2367" w:type="dxa"/>
          </w:tcPr>
          <w:p w:rsidR="001601DB" w:rsidRDefault="003F1325">
            <w:pPr>
              <w:widowControl w:val="0"/>
              <w:spacing w:line="570" w:lineRule="exact"/>
              <w:jc w:val="center"/>
              <w:rPr>
                <w:color w:val="000000" w:themeColor="text1"/>
                <w:kern w:val="0"/>
                <w:sz w:val="28"/>
                <w:szCs w:val="28"/>
              </w:rPr>
            </w:pPr>
            <w:r>
              <w:rPr>
                <w:color w:val="000000" w:themeColor="text1"/>
                <w:kern w:val="0"/>
                <w:sz w:val="28"/>
                <w:szCs w:val="28"/>
              </w:rPr>
              <w:t>副教授</w:t>
            </w:r>
          </w:p>
        </w:tc>
        <w:tc>
          <w:tcPr>
            <w:tcW w:w="916" w:type="dxa"/>
          </w:tcPr>
          <w:p w:rsidR="001601DB" w:rsidRDefault="001601DB">
            <w:pPr>
              <w:widowControl w:val="0"/>
              <w:spacing w:line="570" w:lineRule="exact"/>
              <w:jc w:val="center"/>
              <w:rPr>
                <w:color w:val="000000" w:themeColor="text1"/>
                <w:kern w:val="0"/>
                <w:sz w:val="28"/>
                <w:szCs w:val="28"/>
              </w:rPr>
            </w:pPr>
          </w:p>
        </w:tc>
      </w:tr>
    </w:tbl>
    <w:p w:rsidR="001601DB" w:rsidRDefault="001601DB">
      <w:pPr>
        <w:widowControl w:val="0"/>
        <w:tabs>
          <w:tab w:val="left" w:pos="540"/>
        </w:tabs>
        <w:adjustRightInd w:val="0"/>
        <w:snapToGrid w:val="0"/>
        <w:spacing w:line="560" w:lineRule="exact"/>
        <w:jc w:val="both"/>
        <w:rPr>
          <w:color w:val="000000" w:themeColor="text1"/>
          <w:szCs w:val="32"/>
        </w:rPr>
      </w:pPr>
    </w:p>
    <w:p w:rsidR="001601DB" w:rsidRDefault="001601DB">
      <w:pPr>
        <w:widowControl w:val="0"/>
        <w:spacing w:line="576" w:lineRule="exact"/>
        <w:rPr>
          <w:rFonts w:ascii="黑体" w:eastAsia="黑体" w:hAnsi="黑体" w:cs="黑体"/>
          <w:color w:val="000000" w:themeColor="text1"/>
        </w:rPr>
      </w:pPr>
    </w:p>
    <w:sectPr w:rsidR="001601DB">
      <w:headerReference w:type="even" r:id="rId11"/>
      <w:headerReference w:type="default" r:id="rId12"/>
      <w:footerReference w:type="even" r:id="rId13"/>
      <w:footerReference w:type="default" r:id="rId14"/>
      <w:pgSz w:w="11906" w:h="16838"/>
      <w:pgMar w:top="1474" w:right="1985" w:bottom="1588" w:left="2041" w:header="851" w:footer="992" w:gutter="0"/>
      <w:cols w:space="425"/>
      <w:docGrid w:type="line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325">
      <w:r>
        <w:separator/>
      </w:r>
    </w:p>
  </w:endnote>
  <w:endnote w:type="continuationSeparator" w:id="0">
    <w:p w:rsidR="00000000" w:rsidRDefault="003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DB" w:rsidRDefault="003F1325">
    <w:pPr>
      <w:widowControl w:val="0"/>
      <w:tabs>
        <w:tab w:val="center" w:pos="4153"/>
        <w:tab w:val="right" w:pos="8306"/>
      </w:tabs>
      <w:snapToGrid w:val="0"/>
      <w:ind w:firstLineChars="150" w:firstLine="420"/>
      <w:rPr>
        <w:rFonts w:eastAsia="宋体"/>
        <w:sz w:val="24"/>
        <w:szCs w:val="24"/>
      </w:rPr>
    </w:pPr>
    <w:r>
      <w:rPr>
        <w:rFonts w:eastAsia="宋体"/>
        <w:sz w:val="28"/>
        <w:szCs w:val="28"/>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12</w:t>
    </w:r>
    <w:r>
      <w:rPr>
        <w:rFonts w:eastAsia="宋体"/>
        <w:sz w:val="28"/>
        <w:szCs w:val="28"/>
      </w:rPr>
      <w:fldChar w:fldCharType="end"/>
    </w:r>
    <w:r>
      <w:rPr>
        <w:rFonts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DB" w:rsidRDefault="003F1325">
    <w:pPr>
      <w:widowControl w:val="0"/>
      <w:tabs>
        <w:tab w:val="center" w:pos="4153"/>
        <w:tab w:val="right" w:pos="8306"/>
      </w:tabs>
      <w:snapToGrid w:val="0"/>
      <w:ind w:right="270"/>
      <w:jc w:val="right"/>
      <w:rPr>
        <w:rFonts w:eastAsia="宋体"/>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601DB" w:rsidRDefault="003F1325">
                          <w:pPr>
                            <w:widowControl w:val="0"/>
                            <w:tabs>
                              <w:tab w:val="center" w:pos="4153"/>
                              <w:tab w:val="right" w:pos="8306"/>
                            </w:tabs>
                            <w:snapToGrid w:val="0"/>
                            <w:ind w:right="270" w:firstLineChars="114" w:firstLine="319"/>
                            <w:jc w:val="right"/>
                          </w:pPr>
                          <w:r>
                            <w:rPr>
                              <w:rFonts w:ascii="仿宋_GB2312" w:hAnsi="仿宋_GB2312" w:cs="仿宋_GB2312" w:hint="eastAsia"/>
                              <w:sz w:val="28"/>
                              <w:szCs w:val="28"/>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Pr="003F1325">
                            <w:rPr>
                              <w:rFonts w:eastAsia="宋体"/>
                              <w:noProof/>
                              <w:sz w:val="28"/>
                              <w:szCs w:val="28"/>
                              <w:lang w:val="zh-CN"/>
                            </w:rPr>
                            <w:t>2</w:t>
                          </w:r>
                          <w:r>
                            <w:rPr>
                              <w:rFonts w:eastAsia="宋体"/>
                              <w:sz w:val="28"/>
                              <w:szCs w:val="28"/>
                            </w:rPr>
                            <w:fldChar w:fldCharType="end"/>
                          </w:r>
                          <w:r>
                            <w:rPr>
                              <w:rFonts w:ascii="仿宋_GB2312" w:hAnsi="仿宋_GB2312" w:cs="仿宋_GB2312"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1601DB" w:rsidRDefault="003F1325">
                    <w:pPr>
                      <w:widowControl w:val="0"/>
                      <w:tabs>
                        <w:tab w:val="center" w:pos="4153"/>
                        <w:tab w:val="right" w:pos="8306"/>
                      </w:tabs>
                      <w:snapToGrid w:val="0"/>
                      <w:ind w:right="270" w:firstLineChars="114" w:firstLine="319"/>
                      <w:jc w:val="right"/>
                    </w:pPr>
                    <w:r>
                      <w:rPr>
                        <w:rFonts w:ascii="仿宋_GB2312" w:hAnsi="仿宋_GB2312" w:cs="仿宋_GB2312" w:hint="eastAsia"/>
                        <w:sz w:val="28"/>
                        <w:szCs w:val="28"/>
                      </w:rPr>
                      <w:t>—</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sidRPr="003F1325">
                      <w:rPr>
                        <w:rFonts w:eastAsia="宋体"/>
                        <w:noProof/>
                        <w:sz w:val="28"/>
                        <w:szCs w:val="28"/>
                        <w:lang w:val="zh-CN"/>
                      </w:rPr>
                      <w:t>2</w:t>
                    </w:r>
                    <w:r>
                      <w:rPr>
                        <w:rFonts w:eastAsia="宋体"/>
                        <w:sz w:val="28"/>
                        <w:szCs w:val="28"/>
                      </w:rPr>
                      <w:fldChar w:fldCharType="end"/>
                    </w:r>
                    <w:r>
                      <w:rPr>
                        <w:rFonts w:ascii="仿宋_GB2312" w:hAnsi="仿宋_GB2312" w:cs="仿宋_GB2312"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DB" w:rsidRDefault="003F1325" w:rsidP="003F1325">
    <w:pPr>
      <w:pStyle w:val="a6"/>
      <w:ind w:firstLineChars="101" w:firstLine="283"/>
      <w:rPr>
        <w:rFonts w:asciiTheme="minorEastAsia" w:hAnsiTheme="minorEastAsia" w:cs="Times New Roman"/>
        <w:sz w:val="28"/>
        <w:szCs w:val="28"/>
      </w:rPr>
    </w:pPr>
    <w:r>
      <w:rPr>
        <w:rFonts w:asciiTheme="minorEastAsia" w:hAnsiTheme="minorEastAsia" w:cs="Times New Roman"/>
        <w:sz w:val="28"/>
        <w:szCs w:val="28"/>
      </w:rPr>
      <w:t>—</w:t>
    </w:r>
    <w:sdt>
      <w:sdtPr>
        <w:rPr>
          <w:rFonts w:asciiTheme="minorEastAsia" w:hAnsiTheme="minorEastAsia" w:cs="Times New Roman"/>
          <w:sz w:val="28"/>
          <w:szCs w:val="28"/>
        </w:rPr>
        <w:id w:val="-1886551163"/>
      </w:sdtPr>
      <w:sdtEndPr/>
      <w:sdtContent>
        <w:r>
          <w:rPr>
            <w:rFonts w:asciiTheme="minorEastAsia" w:hAnsiTheme="minorEastAsia" w:cs="Times New Roman"/>
            <w:sz w:val="28"/>
            <w:szCs w:val="28"/>
          </w:rPr>
          <w:fldChar w:fldCharType="begin"/>
        </w:r>
        <w:r>
          <w:rPr>
            <w:rFonts w:asciiTheme="minorEastAsia" w:hAnsiTheme="minorEastAsia" w:cs="Times New Roman"/>
            <w:sz w:val="28"/>
            <w:szCs w:val="28"/>
          </w:rPr>
          <w:instrText>PAGE   \* MERGEFORMAT</w:instrText>
        </w:r>
        <w:r>
          <w:rPr>
            <w:rFonts w:asciiTheme="minorEastAsia" w:hAnsiTheme="minorEastAsia" w:cs="Times New Roman"/>
            <w:sz w:val="28"/>
            <w:szCs w:val="28"/>
          </w:rPr>
          <w:fldChar w:fldCharType="separate"/>
        </w:r>
        <w:r>
          <w:rPr>
            <w:rFonts w:asciiTheme="minorEastAsia" w:hAnsiTheme="minorEastAsia" w:cs="Times New Roman"/>
            <w:sz w:val="28"/>
            <w:szCs w:val="28"/>
            <w:lang w:val="zh-CN"/>
          </w:rPr>
          <w:t>4</w:t>
        </w:r>
        <w:r>
          <w:rPr>
            <w:rFonts w:asciiTheme="minorEastAsia" w:hAnsiTheme="minorEastAsia" w:cs="Times New Roman"/>
            <w:sz w:val="28"/>
            <w:szCs w:val="28"/>
          </w:rPr>
          <w:fldChar w:fldCharType="end"/>
        </w:r>
      </w:sdtContent>
    </w:sdt>
    <w:r>
      <w:rPr>
        <w:rFonts w:asciiTheme="minorEastAsia" w:hAnsiTheme="minorEastAsia" w:cs="Times New Roman"/>
        <w:sz w:val="28"/>
        <w:szCs w:val="28"/>
      </w:rPr>
      <w:t>—</w:t>
    </w:r>
  </w:p>
  <w:p w:rsidR="001601DB" w:rsidRDefault="001601D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17612"/>
    </w:sdtPr>
    <w:sdtEndPr>
      <w:rPr>
        <w:rFonts w:asciiTheme="minorEastAsia" w:hAnsiTheme="minorEastAsia" w:cs="Times New Roman"/>
        <w:sz w:val="24"/>
        <w:szCs w:val="24"/>
      </w:rPr>
    </w:sdtEndPr>
    <w:sdtContent>
      <w:p w:rsidR="001601DB" w:rsidRDefault="003F1325">
        <w:pPr>
          <w:pStyle w:val="a6"/>
          <w:ind w:rightChars="96" w:right="307" w:firstLine="182"/>
          <w:jc w:val="right"/>
          <w:rPr>
            <w:rFonts w:asciiTheme="minorEastAsia" w:hAnsiTheme="minorEastAsia" w:cs="Times New Roman"/>
            <w:sz w:val="24"/>
            <w:szCs w:val="24"/>
          </w:rPr>
        </w:pPr>
        <w:r>
          <w:rPr>
            <w:rFonts w:asciiTheme="minorEastAsia" w:hAnsiTheme="minorEastAsia" w:cs="Times New Roman"/>
            <w:sz w:val="28"/>
            <w:szCs w:val="28"/>
          </w:rPr>
          <w:t>—</w:t>
        </w:r>
        <w:r>
          <w:rPr>
            <w:rFonts w:asciiTheme="minorEastAsia" w:hAnsiTheme="minorEastAsia" w:cs="Times New Roman"/>
            <w:sz w:val="28"/>
            <w:szCs w:val="28"/>
          </w:rPr>
          <w:fldChar w:fldCharType="begin"/>
        </w:r>
        <w:r>
          <w:rPr>
            <w:rFonts w:asciiTheme="minorEastAsia" w:hAnsiTheme="minorEastAsia" w:cs="Times New Roman"/>
            <w:sz w:val="28"/>
            <w:szCs w:val="28"/>
          </w:rPr>
          <w:instrText>PAGE   \* MERGEFORMAT</w:instrText>
        </w:r>
        <w:r>
          <w:rPr>
            <w:rFonts w:asciiTheme="minorEastAsia" w:hAnsiTheme="minorEastAsia" w:cs="Times New Roman"/>
            <w:sz w:val="28"/>
            <w:szCs w:val="28"/>
          </w:rPr>
          <w:fldChar w:fldCharType="separate"/>
        </w:r>
        <w:r w:rsidRPr="003F1325">
          <w:rPr>
            <w:rFonts w:asciiTheme="minorEastAsia" w:hAnsiTheme="minorEastAsia" w:cs="Times New Roman"/>
            <w:noProof/>
            <w:sz w:val="28"/>
            <w:szCs w:val="28"/>
            <w:lang w:val="zh-CN"/>
          </w:rPr>
          <w:t>15</w:t>
        </w:r>
        <w:r>
          <w:rPr>
            <w:rFonts w:asciiTheme="minorEastAsia" w:hAnsiTheme="minorEastAsia" w:cs="Times New Roman"/>
            <w:sz w:val="28"/>
            <w:szCs w:val="28"/>
          </w:rPr>
          <w:fldChar w:fldCharType="end"/>
        </w:r>
        <w:r>
          <w:rPr>
            <w:rFonts w:asciiTheme="minorEastAsia" w:hAnsiTheme="minorEastAsia" w:cs="Times New Roman"/>
            <w:sz w:val="28"/>
            <w:szCs w:val="28"/>
          </w:rPr>
          <w:t>—</w:t>
        </w:r>
      </w:p>
    </w:sdtContent>
  </w:sdt>
  <w:p w:rsidR="001601DB" w:rsidRDefault="00160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325">
      <w:r>
        <w:separator/>
      </w:r>
    </w:p>
  </w:footnote>
  <w:footnote w:type="continuationSeparator" w:id="0">
    <w:p w:rsidR="00000000" w:rsidRDefault="003F1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DB" w:rsidRDefault="001601DB">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DB" w:rsidRDefault="001601D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760A"/>
    <w:multiLevelType w:val="multilevel"/>
    <w:tmpl w:val="653C760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60"/>
  <w:drawingGridVerticalSpacing w:val="579"/>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7D"/>
    <w:rsid w:val="8F3FC905"/>
    <w:rsid w:val="8FEEF354"/>
    <w:rsid w:val="977FC277"/>
    <w:rsid w:val="97FAFE13"/>
    <w:rsid w:val="9E7FDEE6"/>
    <w:rsid w:val="9F6B449D"/>
    <w:rsid w:val="9FD7FFAB"/>
    <w:rsid w:val="9FF7AE6A"/>
    <w:rsid w:val="A6F811B5"/>
    <w:rsid w:val="A7D9C82D"/>
    <w:rsid w:val="AE7306F6"/>
    <w:rsid w:val="AF5DF59D"/>
    <w:rsid w:val="AF6724A1"/>
    <w:rsid w:val="B01F2821"/>
    <w:rsid w:val="B5EFE307"/>
    <w:rsid w:val="B6691844"/>
    <w:rsid w:val="B7B30ED0"/>
    <w:rsid w:val="B7FFA969"/>
    <w:rsid w:val="B93FB9A0"/>
    <w:rsid w:val="B9F5B5BC"/>
    <w:rsid w:val="BEFEDBC1"/>
    <w:rsid w:val="BFD7C612"/>
    <w:rsid w:val="BFE7BE91"/>
    <w:rsid w:val="C77FB498"/>
    <w:rsid w:val="CFA755F3"/>
    <w:rsid w:val="CFB74189"/>
    <w:rsid w:val="CFEDA3AF"/>
    <w:rsid w:val="D3EC53AA"/>
    <w:rsid w:val="DBF4FAAE"/>
    <w:rsid w:val="DDEAAFF0"/>
    <w:rsid w:val="DEAFEFAF"/>
    <w:rsid w:val="DFEDAAB9"/>
    <w:rsid w:val="DFF20639"/>
    <w:rsid w:val="EB6DE394"/>
    <w:rsid w:val="EBA9ACBE"/>
    <w:rsid w:val="EBBFADA7"/>
    <w:rsid w:val="EE5D70A7"/>
    <w:rsid w:val="EE672F3D"/>
    <w:rsid w:val="EE6D13AC"/>
    <w:rsid w:val="EF3FF748"/>
    <w:rsid w:val="EFB6C9B4"/>
    <w:rsid w:val="EFBF604C"/>
    <w:rsid w:val="EFFD1262"/>
    <w:rsid w:val="F5B53F2B"/>
    <w:rsid w:val="F7DBBF69"/>
    <w:rsid w:val="F7FFB7F3"/>
    <w:rsid w:val="F9DFB1A8"/>
    <w:rsid w:val="FAE4D580"/>
    <w:rsid w:val="FAEAF853"/>
    <w:rsid w:val="FB7FEF4E"/>
    <w:rsid w:val="FBBCF6A0"/>
    <w:rsid w:val="FBDFC55B"/>
    <w:rsid w:val="FCBD02EE"/>
    <w:rsid w:val="FCDF842E"/>
    <w:rsid w:val="FCFB20EF"/>
    <w:rsid w:val="FCFF97B6"/>
    <w:rsid w:val="FDF4BC4A"/>
    <w:rsid w:val="FDF777C2"/>
    <w:rsid w:val="FDFE8141"/>
    <w:rsid w:val="FDFEBC03"/>
    <w:rsid w:val="FDFFEDD9"/>
    <w:rsid w:val="FFB38401"/>
    <w:rsid w:val="FFBE8895"/>
    <w:rsid w:val="FFDDEE68"/>
    <w:rsid w:val="FFDFFE34"/>
    <w:rsid w:val="FFEB9E37"/>
    <w:rsid w:val="FFED3402"/>
    <w:rsid w:val="FFEE7B23"/>
    <w:rsid w:val="FFEF5D02"/>
    <w:rsid w:val="FFFBE010"/>
    <w:rsid w:val="FFFBF2AE"/>
    <w:rsid w:val="000000FE"/>
    <w:rsid w:val="0000060B"/>
    <w:rsid w:val="00006776"/>
    <w:rsid w:val="00006DA5"/>
    <w:rsid w:val="00006F27"/>
    <w:rsid w:val="00015C43"/>
    <w:rsid w:val="000205AF"/>
    <w:rsid w:val="000334EE"/>
    <w:rsid w:val="00035D0C"/>
    <w:rsid w:val="0005411F"/>
    <w:rsid w:val="00057896"/>
    <w:rsid w:val="00064896"/>
    <w:rsid w:val="00064D1A"/>
    <w:rsid w:val="000864E3"/>
    <w:rsid w:val="000A26CB"/>
    <w:rsid w:val="000A499F"/>
    <w:rsid w:val="000A55A3"/>
    <w:rsid w:val="000A6180"/>
    <w:rsid w:val="000B4BB1"/>
    <w:rsid w:val="000B7D7C"/>
    <w:rsid w:val="000E1DD3"/>
    <w:rsid w:val="000E500F"/>
    <w:rsid w:val="000E6CA4"/>
    <w:rsid w:val="00124491"/>
    <w:rsid w:val="001313C4"/>
    <w:rsid w:val="0014728D"/>
    <w:rsid w:val="001601DB"/>
    <w:rsid w:val="00160422"/>
    <w:rsid w:val="00160502"/>
    <w:rsid w:val="001719EC"/>
    <w:rsid w:val="00171D48"/>
    <w:rsid w:val="001843BD"/>
    <w:rsid w:val="00186339"/>
    <w:rsid w:val="001978E3"/>
    <w:rsid w:val="001A2A61"/>
    <w:rsid w:val="001A5741"/>
    <w:rsid w:val="001B71EA"/>
    <w:rsid w:val="001E1EAC"/>
    <w:rsid w:val="001E7B74"/>
    <w:rsid w:val="001F2B12"/>
    <w:rsid w:val="001F2D90"/>
    <w:rsid w:val="001F2E9B"/>
    <w:rsid w:val="00205393"/>
    <w:rsid w:val="0022397C"/>
    <w:rsid w:val="0022428F"/>
    <w:rsid w:val="00234400"/>
    <w:rsid w:val="0024465B"/>
    <w:rsid w:val="00257129"/>
    <w:rsid w:val="00270347"/>
    <w:rsid w:val="002749E2"/>
    <w:rsid w:val="00283AF1"/>
    <w:rsid w:val="002A237D"/>
    <w:rsid w:val="002A4B59"/>
    <w:rsid w:val="002B6AAB"/>
    <w:rsid w:val="002C1713"/>
    <w:rsid w:val="002C1B0C"/>
    <w:rsid w:val="002C2E43"/>
    <w:rsid w:val="002D2FC6"/>
    <w:rsid w:val="002D7E75"/>
    <w:rsid w:val="002E1CBE"/>
    <w:rsid w:val="002E2252"/>
    <w:rsid w:val="002E57A9"/>
    <w:rsid w:val="002F1AB6"/>
    <w:rsid w:val="00303107"/>
    <w:rsid w:val="0030535E"/>
    <w:rsid w:val="00307FE7"/>
    <w:rsid w:val="003100B5"/>
    <w:rsid w:val="00316441"/>
    <w:rsid w:val="00320E7D"/>
    <w:rsid w:val="00324DF0"/>
    <w:rsid w:val="00333620"/>
    <w:rsid w:val="0034506D"/>
    <w:rsid w:val="00347290"/>
    <w:rsid w:val="00352C8D"/>
    <w:rsid w:val="00366297"/>
    <w:rsid w:val="003908C4"/>
    <w:rsid w:val="003A3853"/>
    <w:rsid w:val="003A562C"/>
    <w:rsid w:val="003C753C"/>
    <w:rsid w:val="003E4FCB"/>
    <w:rsid w:val="003F00FF"/>
    <w:rsid w:val="003F1325"/>
    <w:rsid w:val="003F195A"/>
    <w:rsid w:val="003F1D69"/>
    <w:rsid w:val="0040412D"/>
    <w:rsid w:val="00406387"/>
    <w:rsid w:val="00421296"/>
    <w:rsid w:val="0043255B"/>
    <w:rsid w:val="0044290E"/>
    <w:rsid w:val="00446AAD"/>
    <w:rsid w:val="00456EE8"/>
    <w:rsid w:val="00473C7F"/>
    <w:rsid w:val="00482F9B"/>
    <w:rsid w:val="004B1BDC"/>
    <w:rsid w:val="004C691C"/>
    <w:rsid w:val="00521F01"/>
    <w:rsid w:val="005233DC"/>
    <w:rsid w:val="0052662D"/>
    <w:rsid w:val="005369ED"/>
    <w:rsid w:val="005536E2"/>
    <w:rsid w:val="005557B0"/>
    <w:rsid w:val="00555E8D"/>
    <w:rsid w:val="005677C2"/>
    <w:rsid w:val="00577953"/>
    <w:rsid w:val="00582203"/>
    <w:rsid w:val="00592ACD"/>
    <w:rsid w:val="005A6B4C"/>
    <w:rsid w:val="005B7D6F"/>
    <w:rsid w:val="005C4302"/>
    <w:rsid w:val="005D0E13"/>
    <w:rsid w:val="005D315F"/>
    <w:rsid w:val="005D4465"/>
    <w:rsid w:val="005E58B4"/>
    <w:rsid w:val="005F0E7E"/>
    <w:rsid w:val="0060189F"/>
    <w:rsid w:val="00615058"/>
    <w:rsid w:val="00651988"/>
    <w:rsid w:val="006579C6"/>
    <w:rsid w:val="006A7250"/>
    <w:rsid w:val="006B2333"/>
    <w:rsid w:val="006B445C"/>
    <w:rsid w:val="006C08EC"/>
    <w:rsid w:val="006C1208"/>
    <w:rsid w:val="006D03AE"/>
    <w:rsid w:val="006D5939"/>
    <w:rsid w:val="006E1AFB"/>
    <w:rsid w:val="006E5320"/>
    <w:rsid w:val="0072530E"/>
    <w:rsid w:val="00736EC2"/>
    <w:rsid w:val="00740C9A"/>
    <w:rsid w:val="00744BCA"/>
    <w:rsid w:val="00746EFD"/>
    <w:rsid w:val="00772D9A"/>
    <w:rsid w:val="007873A6"/>
    <w:rsid w:val="00794E34"/>
    <w:rsid w:val="007A152F"/>
    <w:rsid w:val="007A15DD"/>
    <w:rsid w:val="007B583C"/>
    <w:rsid w:val="00810CA1"/>
    <w:rsid w:val="008203C6"/>
    <w:rsid w:val="00836068"/>
    <w:rsid w:val="00836F27"/>
    <w:rsid w:val="0084674B"/>
    <w:rsid w:val="00851AD2"/>
    <w:rsid w:val="00882F3F"/>
    <w:rsid w:val="008907B5"/>
    <w:rsid w:val="00891A35"/>
    <w:rsid w:val="00894882"/>
    <w:rsid w:val="00895BD4"/>
    <w:rsid w:val="008964D7"/>
    <w:rsid w:val="008A51DB"/>
    <w:rsid w:val="008C01B6"/>
    <w:rsid w:val="008D3182"/>
    <w:rsid w:val="008E0C8C"/>
    <w:rsid w:val="008F02C7"/>
    <w:rsid w:val="008F4BA3"/>
    <w:rsid w:val="00904C83"/>
    <w:rsid w:val="00905F46"/>
    <w:rsid w:val="00927FD0"/>
    <w:rsid w:val="0093734A"/>
    <w:rsid w:val="00947BBF"/>
    <w:rsid w:val="0095693F"/>
    <w:rsid w:val="00964FF7"/>
    <w:rsid w:val="009677D9"/>
    <w:rsid w:val="00970CFB"/>
    <w:rsid w:val="009B3BF4"/>
    <w:rsid w:val="009B6F6F"/>
    <w:rsid w:val="009F2FA1"/>
    <w:rsid w:val="009F3298"/>
    <w:rsid w:val="009F657C"/>
    <w:rsid w:val="00A04496"/>
    <w:rsid w:val="00A06AAA"/>
    <w:rsid w:val="00A12B4C"/>
    <w:rsid w:val="00A20BAA"/>
    <w:rsid w:val="00A313A9"/>
    <w:rsid w:val="00A41B8D"/>
    <w:rsid w:val="00A424D4"/>
    <w:rsid w:val="00A42AB2"/>
    <w:rsid w:val="00A431E6"/>
    <w:rsid w:val="00A47A5A"/>
    <w:rsid w:val="00A61B13"/>
    <w:rsid w:val="00A76D2E"/>
    <w:rsid w:val="00A87D87"/>
    <w:rsid w:val="00A906A9"/>
    <w:rsid w:val="00A9145E"/>
    <w:rsid w:val="00AA18F8"/>
    <w:rsid w:val="00AA458B"/>
    <w:rsid w:val="00AB32F1"/>
    <w:rsid w:val="00AB64F0"/>
    <w:rsid w:val="00AB684D"/>
    <w:rsid w:val="00AC3724"/>
    <w:rsid w:val="00AF3AE7"/>
    <w:rsid w:val="00AF6A6E"/>
    <w:rsid w:val="00B24231"/>
    <w:rsid w:val="00B25B1B"/>
    <w:rsid w:val="00B26EE8"/>
    <w:rsid w:val="00B53524"/>
    <w:rsid w:val="00B5361C"/>
    <w:rsid w:val="00B54A0A"/>
    <w:rsid w:val="00B55149"/>
    <w:rsid w:val="00B624C7"/>
    <w:rsid w:val="00B656A8"/>
    <w:rsid w:val="00B66CE4"/>
    <w:rsid w:val="00B8014E"/>
    <w:rsid w:val="00B84481"/>
    <w:rsid w:val="00B865ED"/>
    <w:rsid w:val="00B916EC"/>
    <w:rsid w:val="00B94F8B"/>
    <w:rsid w:val="00BA2F4D"/>
    <w:rsid w:val="00BB21C5"/>
    <w:rsid w:val="00BB713F"/>
    <w:rsid w:val="00BE1F04"/>
    <w:rsid w:val="00BE5F27"/>
    <w:rsid w:val="00BF4924"/>
    <w:rsid w:val="00C0659B"/>
    <w:rsid w:val="00C173FA"/>
    <w:rsid w:val="00C1752B"/>
    <w:rsid w:val="00C20EC7"/>
    <w:rsid w:val="00C259C2"/>
    <w:rsid w:val="00C2751E"/>
    <w:rsid w:val="00C30A65"/>
    <w:rsid w:val="00C42CA5"/>
    <w:rsid w:val="00C5272D"/>
    <w:rsid w:val="00C55CF4"/>
    <w:rsid w:val="00C655F5"/>
    <w:rsid w:val="00C74C56"/>
    <w:rsid w:val="00CA30B4"/>
    <w:rsid w:val="00CB32F6"/>
    <w:rsid w:val="00CB4269"/>
    <w:rsid w:val="00CB5D98"/>
    <w:rsid w:val="00CC417B"/>
    <w:rsid w:val="00CC7B77"/>
    <w:rsid w:val="00CF10A6"/>
    <w:rsid w:val="00CF274C"/>
    <w:rsid w:val="00D00FB5"/>
    <w:rsid w:val="00D104B2"/>
    <w:rsid w:val="00D229A4"/>
    <w:rsid w:val="00D23DF1"/>
    <w:rsid w:val="00D23F4F"/>
    <w:rsid w:val="00D44BB7"/>
    <w:rsid w:val="00D46C7E"/>
    <w:rsid w:val="00D52FEC"/>
    <w:rsid w:val="00D555C9"/>
    <w:rsid w:val="00D60E27"/>
    <w:rsid w:val="00D67034"/>
    <w:rsid w:val="00D81BC1"/>
    <w:rsid w:val="00D82747"/>
    <w:rsid w:val="00D8329A"/>
    <w:rsid w:val="00D83387"/>
    <w:rsid w:val="00D854A2"/>
    <w:rsid w:val="00D930FF"/>
    <w:rsid w:val="00D94173"/>
    <w:rsid w:val="00D95BFF"/>
    <w:rsid w:val="00D9734B"/>
    <w:rsid w:val="00DA31CD"/>
    <w:rsid w:val="00DB019D"/>
    <w:rsid w:val="00DB5839"/>
    <w:rsid w:val="00DB7F3D"/>
    <w:rsid w:val="00DC6399"/>
    <w:rsid w:val="00DD518B"/>
    <w:rsid w:val="00DE4240"/>
    <w:rsid w:val="00E01D5A"/>
    <w:rsid w:val="00E0325A"/>
    <w:rsid w:val="00E07DB2"/>
    <w:rsid w:val="00E26787"/>
    <w:rsid w:val="00E51988"/>
    <w:rsid w:val="00E70BBF"/>
    <w:rsid w:val="00E841E6"/>
    <w:rsid w:val="00E904C2"/>
    <w:rsid w:val="00E9438E"/>
    <w:rsid w:val="00EA5F2A"/>
    <w:rsid w:val="00EA63DD"/>
    <w:rsid w:val="00EB455C"/>
    <w:rsid w:val="00EB7EC8"/>
    <w:rsid w:val="00ED0CCF"/>
    <w:rsid w:val="00ED343E"/>
    <w:rsid w:val="00ED5EFB"/>
    <w:rsid w:val="00EE69F5"/>
    <w:rsid w:val="00EF3AD0"/>
    <w:rsid w:val="00F01085"/>
    <w:rsid w:val="00F147E0"/>
    <w:rsid w:val="00F34E91"/>
    <w:rsid w:val="00F456B8"/>
    <w:rsid w:val="00F47797"/>
    <w:rsid w:val="00F506B1"/>
    <w:rsid w:val="00F50E60"/>
    <w:rsid w:val="00F74CF3"/>
    <w:rsid w:val="00F8505E"/>
    <w:rsid w:val="00F95005"/>
    <w:rsid w:val="00FA3D1E"/>
    <w:rsid w:val="00FA48B1"/>
    <w:rsid w:val="00FA4AA6"/>
    <w:rsid w:val="00FD22E4"/>
    <w:rsid w:val="00FD48B0"/>
    <w:rsid w:val="00FD68C9"/>
    <w:rsid w:val="00FE1579"/>
    <w:rsid w:val="03BF6C84"/>
    <w:rsid w:val="07DFA788"/>
    <w:rsid w:val="137772F9"/>
    <w:rsid w:val="13AB02B7"/>
    <w:rsid w:val="17FD5186"/>
    <w:rsid w:val="1DDE1B9D"/>
    <w:rsid w:val="1F7F4CEA"/>
    <w:rsid w:val="1FDE43CE"/>
    <w:rsid w:val="27CD37DC"/>
    <w:rsid w:val="2CD6B1F5"/>
    <w:rsid w:val="2F3FACFD"/>
    <w:rsid w:val="2FB35B38"/>
    <w:rsid w:val="2FFD3F9D"/>
    <w:rsid w:val="337F4956"/>
    <w:rsid w:val="37075F91"/>
    <w:rsid w:val="37B6F689"/>
    <w:rsid w:val="3B7B8E9E"/>
    <w:rsid w:val="3CEF8D6D"/>
    <w:rsid w:val="3EFDD6DA"/>
    <w:rsid w:val="3F2EA1ED"/>
    <w:rsid w:val="3F6E6218"/>
    <w:rsid w:val="3F77ADFD"/>
    <w:rsid w:val="3FF25F85"/>
    <w:rsid w:val="467FA712"/>
    <w:rsid w:val="49BCF374"/>
    <w:rsid w:val="4FDD6816"/>
    <w:rsid w:val="579FAEB7"/>
    <w:rsid w:val="58F5774F"/>
    <w:rsid w:val="5CFF99A0"/>
    <w:rsid w:val="5DEF65E6"/>
    <w:rsid w:val="5DF74853"/>
    <w:rsid w:val="5DFBBD4F"/>
    <w:rsid w:val="5DFF8D59"/>
    <w:rsid w:val="5FBF2E33"/>
    <w:rsid w:val="65BE02FE"/>
    <w:rsid w:val="66B6BF81"/>
    <w:rsid w:val="67FF3302"/>
    <w:rsid w:val="694B3F08"/>
    <w:rsid w:val="6E3EC9D5"/>
    <w:rsid w:val="6E559AC1"/>
    <w:rsid w:val="6EF533DA"/>
    <w:rsid w:val="6FED13B1"/>
    <w:rsid w:val="6FEFE8AE"/>
    <w:rsid w:val="71F7635E"/>
    <w:rsid w:val="723C0425"/>
    <w:rsid w:val="7247C461"/>
    <w:rsid w:val="72D63E54"/>
    <w:rsid w:val="72EF1752"/>
    <w:rsid w:val="769F6FA5"/>
    <w:rsid w:val="76FF77FB"/>
    <w:rsid w:val="773FA31F"/>
    <w:rsid w:val="77D7056D"/>
    <w:rsid w:val="77DFBFBC"/>
    <w:rsid w:val="77FB2D1B"/>
    <w:rsid w:val="77FEF242"/>
    <w:rsid w:val="77FFACB8"/>
    <w:rsid w:val="789FA9A2"/>
    <w:rsid w:val="7AF32242"/>
    <w:rsid w:val="7B3AF72B"/>
    <w:rsid w:val="7B4E42CC"/>
    <w:rsid w:val="7BBFAAEF"/>
    <w:rsid w:val="7BBFBEEF"/>
    <w:rsid w:val="7BCF6499"/>
    <w:rsid w:val="7BFD5F08"/>
    <w:rsid w:val="7E0FD371"/>
    <w:rsid w:val="7E56C932"/>
    <w:rsid w:val="7EDE4B4F"/>
    <w:rsid w:val="7EF62A10"/>
    <w:rsid w:val="7F3D1FD5"/>
    <w:rsid w:val="7F3F9DED"/>
    <w:rsid w:val="7F4C1788"/>
    <w:rsid w:val="7F7F298A"/>
    <w:rsid w:val="7FF75982"/>
    <w:rsid w:val="7FFC369E"/>
    <w:rsid w:val="7FFE4F57"/>
    <w:rsid w:val="7FFF9CE8"/>
    <w:rsid w:val="7FFFD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unhideWhenUsed/>
    <w:qFormat/>
    <w:pPr>
      <w:spacing w:after="12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itle"/>
    <w:basedOn w:val="a"/>
    <w:uiPriority w:val="99"/>
    <w:qFormat/>
    <w:pPr>
      <w:adjustRightInd w:val="0"/>
      <w:snapToGrid w:val="0"/>
      <w:spacing w:line="560" w:lineRule="exact"/>
      <w:jc w:val="center"/>
      <w:outlineLvl w:val="0"/>
    </w:pPr>
    <w:rPr>
      <w:rFonts w:ascii="方正小标宋_GBK" w:eastAsia="方正小标宋_GBK" w:hAnsi="Arial"/>
      <w:sz w:val="44"/>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000FF"/>
      <w:u w:val="single"/>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rFonts w:ascii="Times New Roman" w:eastAsia="仿宋_GB2312" w:hAnsi="Times New Roman" w:cs="Times New Roman"/>
      <w:sz w:val="18"/>
      <w:szCs w:val="18"/>
    </w:rPr>
  </w:style>
  <w:style w:type="paragraph" w:styleId="ab">
    <w:name w:val="No Spacing"/>
    <w:uiPriority w:val="1"/>
    <w:qFormat/>
    <w:rPr>
      <w:rFonts w:eastAsia="仿宋_GB2312"/>
      <w:kern w:val="2"/>
      <w:sz w:val="32"/>
    </w:rPr>
  </w:style>
  <w:style w:type="paragraph" w:customStyle="1" w:styleId="font0">
    <w:name w:val="font0"/>
    <w:basedOn w:val="a"/>
    <w:qFormat/>
    <w:pPr>
      <w:spacing w:before="100" w:beforeAutospacing="1" w:after="100" w:afterAutospacing="1"/>
    </w:pPr>
    <w:rPr>
      <w:rFonts w:ascii="宋体" w:eastAsia="宋体" w:hAnsi="宋体" w:cs="宋体"/>
      <w:color w:val="000000"/>
      <w:kern w:val="0"/>
      <w:sz w:val="22"/>
      <w:szCs w:val="22"/>
    </w:rPr>
  </w:style>
  <w:style w:type="paragraph" w:customStyle="1" w:styleId="font5">
    <w:name w:val="font5"/>
    <w:basedOn w:val="a"/>
    <w:qFormat/>
    <w:pPr>
      <w:spacing w:before="100" w:beforeAutospacing="1" w:after="100" w:afterAutospacing="1"/>
    </w:pPr>
    <w:rPr>
      <w:rFonts w:ascii="宋体" w:eastAsia="宋体" w:hAnsi="宋体" w:cs="宋体"/>
      <w:kern w:val="0"/>
      <w:sz w:val="18"/>
      <w:szCs w:val="18"/>
    </w:rPr>
  </w:style>
  <w:style w:type="paragraph" w:customStyle="1" w:styleId="font6">
    <w:name w:val="font6"/>
    <w:basedOn w:val="a"/>
    <w:qFormat/>
    <w:pPr>
      <w:spacing w:before="100" w:beforeAutospacing="1" w:after="100" w:afterAutospacing="1"/>
    </w:pPr>
    <w:rPr>
      <w:rFonts w:ascii="宋体" w:eastAsia="宋体" w:hAnsi="宋体" w:cs="宋体"/>
      <w:kern w:val="0"/>
      <w:sz w:val="18"/>
      <w:szCs w:val="18"/>
    </w:rPr>
  </w:style>
  <w:style w:type="paragraph" w:customStyle="1" w:styleId="font7">
    <w:name w:val="font7"/>
    <w:basedOn w:val="a"/>
    <w:qFormat/>
    <w:pPr>
      <w:spacing w:before="100" w:beforeAutospacing="1" w:after="100" w:afterAutospacing="1"/>
    </w:pPr>
    <w:rPr>
      <w:rFonts w:ascii="宋体" w:eastAsia="宋体" w:hAnsi="宋体" w:cs="宋体"/>
      <w:kern w:val="0"/>
      <w:sz w:val="18"/>
      <w:szCs w:val="18"/>
    </w:rPr>
  </w:style>
  <w:style w:type="paragraph" w:customStyle="1" w:styleId="font8">
    <w:name w:val="font8"/>
    <w:basedOn w:val="a"/>
    <w:qFormat/>
    <w:pPr>
      <w:spacing w:before="100" w:beforeAutospacing="1" w:after="100" w:afterAutospacing="1"/>
    </w:pPr>
    <w:rPr>
      <w:rFonts w:ascii="仿宋_GB2312" w:hAnsi="宋体" w:cs="宋体"/>
      <w:b/>
      <w:bCs/>
      <w:kern w:val="0"/>
      <w:sz w:val="18"/>
      <w:szCs w:val="18"/>
    </w:rPr>
  </w:style>
  <w:style w:type="paragraph" w:customStyle="1" w:styleId="font9">
    <w:name w:val="font9"/>
    <w:basedOn w:val="a"/>
    <w:qFormat/>
    <w:pPr>
      <w:spacing w:before="100" w:beforeAutospacing="1" w:after="100" w:afterAutospacing="1"/>
    </w:pPr>
    <w:rPr>
      <w:rFonts w:ascii="仿宋_GB2312" w:hAnsi="宋体" w:cs="宋体"/>
      <w:kern w:val="0"/>
      <w:sz w:val="18"/>
      <w:szCs w:val="18"/>
    </w:rPr>
  </w:style>
  <w:style w:type="paragraph" w:customStyle="1" w:styleId="xl66">
    <w:name w:val="xl66"/>
    <w:basedOn w:val="a"/>
    <w:qFormat/>
    <w:pP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spacing w:before="100" w:beforeAutospacing="1" w:after="100" w:afterAutospacing="1"/>
    </w:pPr>
    <w:rPr>
      <w:rFonts w:ascii="宋体" w:eastAsia="宋体" w:hAnsi="宋体" w:cs="宋体"/>
      <w:kern w:val="0"/>
      <w:sz w:val="24"/>
      <w:szCs w:val="24"/>
    </w:rPr>
  </w:style>
  <w:style w:type="paragraph" w:customStyle="1" w:styleId="xl68">
    <w:name w:val="xl68"/>
    <w:basedOn w:val="a"/>
    <w:qFormat/>
    <w:pPr>
      <w:spacing w:before="100" w:beforeAutospacing="1" w:after="100" w:afterAutospacing="1"/>
    </w:pPr>
    <w:rPr>
      <w:rFonts w:ascii="宋体" w:eastAsia="宋体" w:hAnsi="宋体" w:cs="宋体"/>
      <w:kern w:val="0"/>
      <w:sz w:val="24"/>
      <w:szCs w:val="24"/>
    </w:rPr>
  </w:style>
  <w:style w:type="paragraph" w:customStyle="1" w:styleId="xl69">
    <w:name w:val="xl69"/>
    <w:basedOn w:val="a"/>
    <w:qFormat/>
    <w:pPr>
      <w:spacing w:before="100" w:beforeAutospacing="1" w:after="100" w:afterAutospacing="1"/>
    </w:pPr>
    <w:rPr>
      <w:rFonts w:ascii="仿宋_GB2312" w:hAnsi="宋体" w:cs="宋体"/>
      <w:kern w:val="0"/>
      <w:sz w:val="18"/>
      <w:szCs w:val="1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b/>
      <w:bCs/>
      <w:kern w:val="0"/>
      <w:sz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18"/>
      <w:szCs w:val="18"/>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18"/>
      <w:szCs w:val="18"/>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b/>
      <w:bCs/>
      <w:kern w:val="0"/>
      <w:sz w:val="24"/>
      <w:szCs w:val="2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01">
    <w:name w:val="font101"/>
    <w:basedOn w:val="a1"/>
    <w:qFormat/>
    <w:rPr>
      <w:rFonts w:ascii="仿宋_GB2312" w:eastAsia="仿宋_GB2312" w:cs="仿宋_GB2312" w:hint="eastAsia"/>
      <w:color w:val="000000"/>
      <w:sz w:val="20"/>
      <w:szCs w:val="20"/>
      <w:u w:val="none"/>
    </w:rPr>
  </w:style>
  <w:style w:type="character" w:customStyle="1" w:styleId="font91">
    <w:name w:val="font91"/>
    <w:basedOn w:val="a1"/>
    <w:qFormat/>
    <w:rPr>
      <w:rFonts w:ascii="仿宋_GB2312" w:eastAsia="仿宋_GB2312" w:cs="仿宋_GB2312" w:hint="eastAsia"/>
      <w:color w:val="000000"/>
      <w:sz w:val="20"/>
      <w:szCs w:val="20"/>
      <w:u w:val="none"/>
    </w:rPr>
  </w:style>
  <w:style w:type="character" w:customStyle="1" w:styleId="font31">
    <w:name w:val="font31"/>
    <w:basedOn w:val="a1"/>
    <w:qFormat/>
    <w:rPr>
      <w:rFonts w:ascii="仿宋_GB2312" w:eastAsia="仿宋_GB2312" w:cs="仿宋_GB2312" w:hint="eastAsia"/>
      <w:color w:val="000000"/>
      <w:sz w:val="20"/>
      <w:szCs w:val="20"/>
      <w:u w:val="none"/>
    </w:rPr>
  </w:style>
  <w:style w:type="character" w:customStyle="1" w:styleId="font51">
    <w:name w:val="font51"/>
    <w:basedOn w:val="a1"/>
    <w:qFormat/>
    <w:rPr>
      <w:rFonts w:ascii="仿宋_GB2312" w:eastAsia="仿宋_GB2312" w:cs="仿宋_GB2312" w:hint="eastAsia"/>
      <w:color w:val="000000"/>
      <w:sz w:val="20"/>
      <w:szCs w:val="20"/>
      <w:u w:val="none"/>
    </w:rPr>
  </w:style>
  <w:style w:type="character" w:customStyle="1" w:styleId="font112">
    <w:name w:val="font112"/>
    <w:basedOn w:val="a1"/>
    <w:qFormat/>
    <w:rPr>
      <w:rFonts w:ascii="仿宋_GB2312" w:eastAsia="仿宋_GB2312" w:cs="仿宋_GB2312"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仿宋_GB2312" w:eastAsia="仿宋_GB2312" w:cs="仿宋_GB2312" w:hint="eastAsia"/>
      <w:color w:val="000000"/>
      <w:sz w:val="20"/>
      <w:szCs w:val="20"/>
      <w:u w:val="none"/>
    </w:rPr>
  </w:style>
  <w:style w:type="character" w:customStyle="1" w:styleId="NormalCharacter">
    <w:name w:val="NormalCharacter"/>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pPr>
      <w:ind w:firstLineChars="100" w:firstLine="420"/>
    </w:pPr>
  </w:style>
  <w:style w:type="paragraph" w:styleId="a4">
    <w:name w:val="Body Text"/>
    <w:basedOn w:val="a"/>
    <w:next w:val="Default"/>
    <w:unhideWhenUsed/>
    <w:qFormat/>
    <w:pPr>
      <w:spacing w:after="12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itle"/>
    <w:basedOn w:val="a"/>
    <w:uiPriority w:val="99"/>
    <w:qFormat/>
    <w:pPr>
      <w:adjustRightInd w:val="0"/>
      <w:snapToGrid w:val="0"/>
      <w:spacing w:line="560" w:lineRule="exact"/>
      <w:jc w:val="center"/>
      <w:outlineLvl w:val="0"/>
    </w:pPr>
    <w:rPr>
      <w:rFonts w:ascii="方正小标宋_GBK" w:eastAsia="方正小标宋_GBK" w:hAnsi="Arial"/>
      <w:sz w:val="44"/>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000FF"/>
      <w:u w:val="single"/>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rFonts w:ascii="Times New Roman" w:eastAsia="仿宋_GB2312" w:hAnsi="Times New Roman" w:cs="Times New Roman"/>
      <w:sz w:val="18"/>
      <w:szCs w:val="18"/>
    </w:rPr>
  </w:style>
  <w:style w:type="paragraph" w:styleId="ab">
    <w:name w:val="No Spacing"/>
    <w:uiPriority w:val="1"/>
    <w:qFormat/>
    <w:rPr>
      <w:rFonts w:eastAsia="仿宋_GB2312"/>
      <w:kern w:val="2"/>
      <w:sz w:val="32"/>
    </w:rPr>
  </w:style>
  <w:style w:type="paragraph" w:customStyle="1" w:styleId="font0">
    <w:name w:val="font0"/>
    <w:basedOn w:val="a"/>
    <w:qFormat/>
    <w:pPr>
      <w:spacing w:before="100" w:beforeAutospacing="1" w:after="100" w:afterAutospacing="1"/>
    </w:pPr>
    <w:rPr>
      <w:rFonts w:ascii="宋体" w:eastAsia="宋体" w:hAnsi="宋体" w:cs="宋体"/>
      <w:color w:val="000000"/>
      <w:kern w:val="0"/>
      <w:sz w:val="22"/>
      <w:szCs w:val="22"/>
    </w:rPr>
  </w:style>
  <w:style w:type="paragraph" w:customStyle="1" w:styleId="font5">
    <w:name w:val="font5"/>
    <w:basedOn w:val="a"/>
    <w:qFormat/>
    <w:pPr>
      <w:spacing w:before="100" w:beforeAutospacing="1" w:after="100" w:afterAutospacing="1"/>
    </w:pPr>
    <w:rPr>
      <w:rFonts w:ascii="宋体" w:eastAsia="宋体" w:hAnsi="宋体" w:cs="宋体"/>
      <w:kern w:val="0"/>
      <w:sz w:val="18"/>
      <w:szCs w:val="18"/>
    </w:rPr>
  </w:style>
  <w:style w:type="paragraph" w:customStyle="1" w:styleId="font6">
    <w:name w:val="font6"/>
    <w:basedOn w:val="a"/>
    <w:qFormat/>
    <w:pPr>
      <w:spacing w:before="100" w:beforeAutospacing="1" w:after="100" w:afterAutospacing="1"/>
    </w:pPr>
    <w:rPr>
      <w:rFonts w:ascii="宋体" w:eastAsia="宋体" w:hAnsi="宋体" w:cs="宋体"/>
      <w:kern w:val="0"/>
      <w:sz w:val="18"/>
      <w:szCs w:val="18"/>
    </w:rPr>
  </w:style>
  <w:style w:type="paragraph" w:customStyle="1" w:styleId="font7">
    <w:name w:val="font7"/>
    <w:basedOn w:val="a"/>
    <w:qFormat/>
    <w:pPr>
      <w:spacing w:before="100" w:beforeAutospacing="1" w:after="100" w:afterAutospacing="1"/>
    </w:pPr>
    <w:rPr>
      <w:rFonts w:ascii="宋体" w:eastAsia="宋体" w:hAnsi="宋体" w:cs="宋体"/>
      <w:kern w:val="0"/>
      <w:sz w:val="18"/>
      <w:szCs w:val="18"/>
    </w:rPr>
  </w:style>
  <w:style w:type="paragraph" w:customStyle="1" w:styleId="font8">
    <w:name w:val="font8"/>
    <w:basedOn w:val="a"/>
    <w:qFormat/>
    <w:pPr>
      <w:spacing w:before="100" w:beforeAutospacing="1" w:after="100" w:afterAutospacing="1"/>
    </w:pPr>
    <w:rPr>
      <w:rFonts w:ascii="仿宋_GB2312" w:hAnsi="宋体" w:cs="宋体"/>
      <w:b/>
      <w:bCs/>
      <w:kern w:val="0"/>
      <w:sz w:val="18"/>
      <w:szCs w:val="18"/>
    </w:rPr>
  </w:style>
  <w:style w:type="paragraph" w:customStyle="1" w:styleId="font9">
    <w:name w:val="font9"/>
    <w:basedOn w:val="a"/>
    <w:qFormat/>
    <w:pPr>
      <w:spacing w:before="100" w:beforeAutospacing="1" w:after="100" w:afterAutospacing="1"/>
    </w:pPr>
    <w:rPr>
      <w:rFonts w:ascii="仿宋_GB2312" w:hAnsi="宋体" w:cs="宋体"/>
      <w:kern w:val="0"/>
      <w:sz w:val="18"/>
      <w:szCs w:val="18"/>
    </w:rPr>
  </w:style>
  <w:style w:type="paragraph" w:customStyle="1" w:styleId="xl66">
    <w:name w:val="xl66"/>
    <w:basedOn w:val="a"/>
    <w:qFormat/>
    <w:pP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spacing w:before="100" w:beforeAutospacing="1" w:after="100" w:afterAutospacing="1"/>
    </w:pPr>
    <w:rPr>
      <w:rFonts w:ascii="宋体" w:eastAsia="宋体" w:hAnsi="宋体" w:cs="宋体"/>
      <w:kern w:val="0"/>
      <w:sz w:val="24"/>
      <w:szCs w:val="24"/>
    </w:rPr>
  </w:style>
  <w:style w:type="paragraph" w:customStyle="1" w:styleId="xl68">
    <w:name w:val="xl68"/>
    <w:basedOn w:val="a"/>
    <w:qFormat/>
    <w:pPr>
      <w:spacing w:before="100" w:beforeAutospacing="1" w:after="100" w:afterAutospacing="1"/>
    </w:pPr>
    <w:rPr>
      <w:rFonts w:ascii="宋体" w:eastAsia="宋体" w:hAnsi="宋体" w:cs="宋体"/>
      <w:kern w:val="0"/>
      <w:sz w:val="24"/>
      <w:szCs w:val="24"/>
    </w:rPr>
  </w:style>
  <w:style w:type="paragraph" w:customStyle="1" w:styleId="xl69">
    <w:name w:val="xl69"/>
    <w:basedOn w:val="a"/>
    <w:qFormat/>
    <w:pPr>
      <w:spacing w:before="100" w:beforeAutospacing="1" w:after="100" w:afterAutospacing="1"/>
    </w:pPr>
    <w:rPr>
      <w:rFonts w:ascii="仿宋_GB2312" w:hAnsi="宋体" w:cs="宋体"/>
      <w:kern w:val="0"/>
      <w:sz w:val="18"/>
      <w:szCs w:val="1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b/>
      <w:bCs/>
      <w:kern w:val="0"/>
      <w:sz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18"/>
      <w:szCs w:val="18"/>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hAnsi="宋体" w:cs="宋体"/>
      <w:kern w:val="0"/>
      <w:sz w:val="18"/>
      <w:szCs w:val="18"/>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b/>
      <w:bCs/>
      <w:kern w:val="0"/>
      <w:sz w:val="24"/>
      <w:szCs w:val="2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01">
    <w:name w:val="font101"/>
    <w:basedOn w:val="a1"/>
    <w:qFormat/>
    <w:rPr>
      <w:rFonts w:ascii="仿宋_GB2312" w:eastAsia="仿宋_GB2312" w:cs="仿宋_GB2312" w:hint="eastAsia"/>
      <w:color w:val="000000"/>
      <w:sz w:val="20"/>
      <w:szCs w:val="20"/>
      <w:u w:val="none"/>
    </w:rPr>
  </w:style>
  <w:style w:type="character" w:customStyle="1" w:styleId="font91">
    <w:name w:val="font91"/>
    <w:basedOn w:val="a1"/>
    <w:qFormat/>
    <w:rPr>
      <w:rFonts w:ascii="仿宋_GB2312" w:eastAsia="仿宋_GB2312" w:cs="仿宋_GB2312" w:hint="eastAsia"/>
      <w:color w:val="000000"/>
      <w:sz w:val="20"/>
      <w:szCs w:val="20"/>
      <w:u w:val="none"/>
    </w:rPr>
  </w:style>
  <w:style w:type="character" w:customStyle="1" w:styleId="font31">
    <w:name w:val="font31"/>
    <w:basedOn w:val="a1"/>
    <w:qFormat/>
    <w:rPr>
      <w:rFonts w:ascii="仿宋_GB2312" w:eastAsia="仿宋_GB2312" w:cs="仿宋_GB2312" w:hint="eastAsia"/>
      <w:color w:val="000000"/>
      <w:sz w:val="20"/>
      <w:szCs w:val="20"/>
      <w:u w:val="none"/>
    </w:rPr>
  </w:style>
  <w:style w:type="character" w:customStyle="1" w:styleId="font51">
    <w:name w:val="font51"/>
    <w:basedOn w:val="a1"/>
    <w:qFormat/>
    <w:rPr>
      <w:rFonts w:ascii="仿宋_GB2312" w:eastAsia="仿宋_GB2312" w:cs="仿宋_GB2312" w:hint="eastAsia"/>
      <w:color w:val="000000"/>
      <w:sz w:val="20"/>
      <w:szCs w:val="20"/>
      <w:u w:val="none"/>
    </w:rPr>
  </w:style>
  <w:style w:type="character" w:customStyle="1" w:styleId="font112">
    <w:name w:val="font112"/>
    <w:basedOn w:val="a1"/>
    <w:qFormat/>
    <w:rPr>
      <w:rFonts w:ascii="仿宋_GB2312" w:eastAsia="仿宋_GB2312" w:cs="仿宋_GB2312" w:hint="eastAsia"/>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仿宋_GB2312" w:eastAsia="仿宋_GB2312" w:cs="仿宋_GB2312" w:hint="eastAsia"/>
      <w:color w:val="000000"/>
      <w:sz w:val="20"/>
      <w:szCs w:val="20"/>
      <w:u w:val="none"/>
    </w:r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1066</Words>
  <Characters>6078</Characters>
  <Application>Microsoft Office Word</Application>
  <DocSecurity>0</DocSecurity>
  <Lines>50</Lines>
  <Paragraphs>14</Paragraphs>
  <ScaleCrop>false</ScaleCrop>
  <Company>Microsoft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wyz</dc:creator>
  <cp:lastModifiedBy>bgszy</cp:lastModifiedBy>
  <cp:revision>21</cp:revision>
  <cp:lastPrinted>2021-05-19T00:38:00Z</cp:lastPrinted>
  <dcterms:created xsi:type="dcterms:W3CDTF">2021-01-03T01:46:00Z</dcterms:created>
  <dcterms:modified xsi:type="dcterms:W3CDTF">2021-05-18T09:59:00Z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